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5" w:line="348" w:lineRule="auto"/>
        <w:ind w:left="924" w:right="1102"/>
        <w:jc w:val="center"/>
        <w:rPr>
          <w:rFonts w:ascii="Calibri" w:hAnsi="Calibri" w:cs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100G QSFP28 Passive Direct Attach Copper Cable</w:t>
      </w:r>
    </w:p>
    <w:p>
      <w:pPr>
        <w:spacing w:before="235" w:line="348" w:lineRule="auto"/>
        <w:ind w:left="924" w:right="1102"/>
        <w:jc w:val="center"/>
        <w:rPr>
          <w:rFonts w:ascii="Calibri" w:hAnsi="Calibri" w:cs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417" w:lineRule="auto"/>
        <w:rPr>
          <w:rFonts w:ascii="Calibri" w:hAnsi="Calibri" w:cs="Calibri" w:eastAsiaTheme="minorEastAsia"/>
          <w:b/>
          <w:bCs/>
          <w:sz w:val="28"/>
          <w:szCs w:val="28"/>
        </w:rPr>
      </w:pPr>
      <w:r>
        <w:rPr>
          <w:rFonts w:ascii="Calibri" w:hAnsi="Calibri" w:cs="Calibri" w:eastAsiaTheme="minorEastAsia"/>
          <w:b/>
          <w:bCs/>
          <w:sz w:val="28"/>
          <w:szCs w:val="28"/>
        </w:rPr>
        <w:t>Description</w:t>
      </w:r>
    </w:p>
    <w:p>
      <w:pPr>
        <w:spacing w:line="360" w:lineRule="auto"/>
        <w:rPr>
          <w:rFonts w:hint="eastAsia" w:ascii="Calibri" w:hAnsi="Calibri" w:cs="Calibri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Cs/>
          <w:color w:val="000000" w:themeColor="text1"/>
          <w14:textFill>
            <w14:solidFill>
              <w14:schemeClr w14:val="tx1"/>
            </w14:solidFill>
          </w14:textFill>
        </w:rPr>
        <w:t>The 100G QSFP28 Direct Connect Cable (DAC) is a 4-channel parallel passive copper product for storage, data centers and high-performance computing connections. Each channel is capable of transmitting data at 25Gbps, enabling a 100 Gbps total data rate of 5 meters.</w:t>
      </w:r>
      <w:r>
        <w:rPr>
          <w:rFonts w:hint="eastAsia" w:ascii="Calibri" w:hAnsi="Calibri" w:cs="Calibri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hint="eastAsia" w:ascii="Calibri" w:hAnsi="Calibri" w:eastAsia="宋体" w:cs="Calibri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100G QSFP28 to QSFP28 DAC </w:t>
      </w:r>
      <w:r>
        <w:rPr>
          <w:rFonts w:hint="default" w:ascii="Calibri" w:hAnsi="Calibri" w:cs="Calibri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cable </w:t>
      </w:r>
      <w:r>
        <w:rPr>
          <w:rFonts w:hint="eastAsia" w:ascii="Calibri" w:hAnsi="Calibri" w:cs="Calibri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for 0.5meters, 1meters, 2meters, 3meters, 5meters are optional.</w:t>
      </w:r>
    </w:p>
    <w:p>
      <w:pPr>
        <w:spacing w:line="360" w:lineRule="auto"/>
        <w:rPr>
          <w:rFonts w:ascii="Calibri" w:hAnsi="Calibri" w:cs="Calibri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417" w:lineRule="auto"/>
        <w:ind w:left="15" w:leftChars="-1" w:hanging="17" w:hangingChars="6"/>
        <w:rPr>
          <w:rFonts w:ascii="Calibri" w:hAnsi="Calibri" w:cs="Calibri" w:eastAsiaTheme="minorEastAsia"/>
          <w:b/>
          <w:bCs/>
        </w:rPr>
      </w:pPr>
      <w:r>
        <w:rPr>
          <w:rFonts w:ascii="Calibri" w:hAnsi="Calibri" w:cs="Calibri" w:eastAsiaTheme="minorEastAsia"/>
          <w:b/>
          <w:bCs/>
          <w:sz w:val="28"/>
          <w:szCs w:val="28"/>
        </w:rPr>
        <w:t>Features</w:t>
      </w:r>
    </w:p>
    <w:p>
      <w:pPr>
        <w:pStyle w:val="5"/>
        <w:numPr>
          <w:ilvl w:val="0"/>
          <w:numId w:val="1"/>
        </w:numPr>
        <w:spacing w:line="417" w:lineRule="auto"/>
        <w:rPr>
          <w:rFonts w:ascii="Calibri" w:hAnsi="Calibri" w:cs="Calibri" w:eastAsiaTheme="minorEastAsia"/>
          <w:sz w:val="21"/>
          <w:szCs w:val="21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8890</wp:posOffset>
            </wp:positionV>
            <wp:extent cx="2114550" cy="211455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 w:eastAsiaTheme="minorEastAsia"/>
          <w:sz w:val="21"/>
          <w:szCs w:val="21"/>
        </w:rPr>
        <w:t>Enhanced EMI / EMC performance</w:t>
      </w:r>
    </w:p>
    <w:p>
      <w:pPr>
        <w:pStyle w:val="5"/>
        <w:numPr>
          <w:ilvl w:val="0"/>
          <w:numId w:val="1"/>
        </w:numPr>
        <w:spacing w:line="417" w:lineRule="auto"/>
        <w:rPr>
          <w:rFonts w:ascii="Calibri" w:hAnsi="Calibri" w:cs="Calibri" w:eastAsiaTheme="minorEastAsia"/>
          <w:sz w:val="21"/>
          <w:szCs w:val="21"/>
        </w:rPr>
      </w:pPr>
      <w:r>
        <w:rPr>
          <w:rFonts w:ascii="Calibri" w:hAnsi="Calibri" w:cs="Calibri" w:eastAsiaTheme="minorEastAsia"/>
          <w:sz w:val="21"/>
          <w:szCs w:val="21"/>
        </w:rPr>
        <w:t>25Gbps data transfer rate per channel, up to 100Gbps</w:t>
      </w:r>
    </w:p>
    <w:p>
      <w:pPr>
        <w:pStyle w:val="5"/>
        <w:numPr>
          <w:ilvl w:val="0"/>
          <w:numId w:val="1"/>
        </w:numPr>
        <w:spacing w:line="417" w:lineRule="auto"/>
        <w:rPr>
          <w:rFonts w:ascii="Calibri" w:hAnsi="Calibri" w:cs="Calibri" w:eastAsiaTheme="minorEastAsia"/>
          <w:sz w:val="21"/>
          <w:szCs w:val="21"/>
        </w:rPr>
      </w:pPr>
      <w:r>
        <w:rPr>
          <w:rFonts w:ascii="Calibri" w:hAnsi="Calibri" w:cs="Calibri" w:eastAsiaTheme="minorEastAsia"/>
          <w:sz w:val="21"/>
          <w:szCs w:val="21"/>
        </w:rPr>
        <w:t>Compliant with the IEEE 802.3bj standard and Infiniband EDR specifications</w:t>
      </w:r>
    </w:p>
    <w:p>
      <w:pPr>
        <w:pStyle w:val="5"/>
        <w:numPr>
          <w:ilvl w:val="0"/>
          <w:numId w:val="1"/>
        </w:numPr>
        <w:spacing w:line="417" w:lineRule="auto"/>
        <w:rPr>
          <w:rFonts w:ascii="Calibri" w:hAnsi="Calibri" w:cs="Calibri" w:eastAsiaTheme="minorEastAsia"/>
          <w:sz w:val="21"/>
          <w:szCs w:val="21"/>
        </w:rPr>
      </w:pPr>
      <w:r>
        <w:rPr>
          <w:rFonts w:ascii="Calibri" w:hAnsi="Calibri" w:cs="Calibri" w:eastAsiaTheme="minorEastAsia"/>
          <w:sz w:val="21"/>
          <w:szCs w:val="21"/>
        </w:rPr>
        <w:t>Meets QSFP + MSA and SFF-8661 / SFF-8665 standards</w:t>
      </w:r>
    </w:p>
    <w:p>
      <w:pPr>
        <w:pStyle w:val="5"/>
        <w:numPr>
          <w:ilvl w:val="0"/>
          <w:numId w:val="1"/>
        </w:numPr>
        <w:spacing w:line="417" w:lineRule="auto"/>
        <w:rPr>
          <w:rFonts w:ascii="Calibri" w:hAnsi="Calibri" w:cs="Calibri" w:eastAsiaTheme="minorEastAsia"/>
          <w:sz w:val="21"/>
          <w:szCs w:val="21"/>
        </w:rPr>
      </w:pPr>
      <w:r>
        <w:rPr>
          <w:rFonts w:ascii="Calibri" w:hAnsi="Calibri" w:cs="Calibri" w:eastAsiaTheme="minorEastAsia"/>
          <w:sz w:val="21"/>
          <w:szCs w:val="21"/>
        </w:rPr>
        <w:t>Support serial ID function through EEPROM</w:t>
      </w:r>
    </w:p>
    <w:p>
      <w:pPr>
        <w:pStyle w:val="5"/>
        <w:numPr>
          <w:ilvl w:val="0"/>
          <w:numId w:val="1"/>
        </w:numPr>
        <w:spacing w:line="417" w:lineRule="auto"/>
        <w:rPr>
          <w:rFonts w:ascii="Calibri" w:hAnsi="Calibri" w:cs="Calibri" w:eastAsiaTheme="minorEastAsia"/>
          <w:sz w:val="21"/>
          <w:szCs w:val="21"/>
        </w:rPr>
      </w:pPr>
      <w:r>
        <w:rPr>
          <w:rFonts w:ascii="Calibri" w:hAnsi="Calibri" w:cs="Calibri" w:eastAsiaTheme="minorEastAsia"/>
          <w:sz w:val="21"/>
          <w:szCs w:val="21"/>
        </w:rPr>
        <w:t>30AWG to 26AWG cable available</w:t>
      </w:r>
    </w:p>
    <w:p>
      <w:pPr>
        <w:pStyle w:val="5"/>
        <w:numPr>
          <w:ilvl w:val="0"/>
          <w:numId w:val="1"/>
        </w:numPr>
        <w:spacing w:line="417" w:lineRule="auto"/>
        <w:rPr>
          <w:rFonts w:ascii="Calibri" w:hAnsi="Calibri" w:cs="Calibri" w:eastAsiaTheme="minorEastAsia"/>
          <w:sz w:val="21"/>
          <w:szCs w:val="21"/>
        </w:rPr>
      </w:pPr>
      <w:r>
        <w:rPr>
          <w:rFonts w:ascii="Calibri" w:hAnsi="Calibri" w:cs="Calibri" w:eastAsiaTheme="minorEastAsia"/>
          <w:sz w:val="21"/>
          <w:szCs w:val="21"/>
        </w:rPr>
        <w:t>RoHS and halogen-free options</w:t>
      </w:r>
    </w:p>
    <w:p>
      <w:pPr>
        <w:pStyle w:val="5"/>
        <w:numPr>
          <w:ilvl w:val="0"/>
          <w:numId w:val="0"/>
        </w:numPr>
        <w:spacing w:line="417" w:lineRule="auto"/>
        <w:ind w:leftChars="0" w:right="403" w:rightChars="192"/>
        <w:rPr>
          <w:rFonts w:ascii="Calibri" w:hAnsi="Calibri" w:cs="Calibri" w:eastAsiaTheme="minorEastAsia"/>
          <w:sz w:val="21"/>
          <w:szCs w:val="21"/>
        </w:rPr>
      </w:pPr>
    </w:p>
    <w:p>
      <w:pPr>
        <w:pStyle w:val="5"/>
        <w:spacing w:line="417" w:lineRule="auto"/>
        <w:rPr>
          <w:rFonts w:ascii="Calibri" w:hAnsi="Calibri" w:cs="Calibri" w:eastAsiaTheme="minorEastAsia"/>
          <w:b/>
          <w:bCs/>
          <w:sz w:val="28"/>
          <w:szCs w:val="28"/>
        </w:rPr>
      </w:pPr>
      <w:r>
        <w:rPr>
          <w:rFonts w:ascii="Calibri" w:hAnsi="Calibri" w:cs="Calibri" w:eastAsiaTheme="minorEastAsia"/>
          <w:b/>
          <w:bCs/>
          <w:sz w:val="28"/>
          <w:szCs w:val="28"/>
        </w:rPr>
        <w:t>Applications</w:t>
      </w:r>
    </w:p>
    <w:p>
      <w:pPr>
        <w:pStyle w:val="26"/>
        <w:numPr>
          <w:ilvl w:val="1"/>
          <w:numId w:val="2"/>
        </w:numPr>
        <w:suppressAutoHyphens/>
        <w:spacing w:line="360" w:lineRule="auto"/>
        <w:ind w:left="426"/>
        <w:rPr>
          <w:rFonts w:ascii="Calibri" w:hAnsi="Calibri" w:cs="Calibri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Switch / router / HBA / SAN, NIC card</w:t>
      </w:r>
    </w:p>
    <w:p>
      <w:pPr>
        <w:pStyle w:val="26"/>
        <w:numPr>
          <w:ilvl w:val="1"/>
          <w:numId w:val="2"/>
        </w:numPr>
        <w:suppressAutoHyphens/>
        <w:spacing w:line="360" w:lineRule="auto"/>
        <w:ind w:left="426"/>
        <w:rPr>
          <w:rFonts w:ascii="Calibri" w:hAnsi="Calibri" w:cs="Calibri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40G / 100G Ethernet</w:t>
      </w:r>
    </w:p>
    <w:p>
      <w:pPr>
        <w:pStyle w:val="26"/>
        <w:numPr>
          <w:ilvl w:val="1"/>
          <w:numId w:val="2"/>
        </w:numPr>
        <w:suppressAutoHyphens/>
        <w:spacing w:line="360" w:lineRule="auto"/>
        <w:ind w:left="426"/>
        <w:rPr>
          <w:rFonts w:ascii="Calibri" w:hAnsi="Calibri" w:cs="Calibri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Storage, switch, data center, network center</w:t>
      </w:r>
    </w:p>
    <w:p>
      <w:pPr>
        <w:pStyle w:val="26"/>
        <w:numPr>
          <w:ilvl w:val="1"/>
          <w:numId w:val="2"/>
        </w:numPr>
        <w:suppressAutoHyphens/>
        <w:autoSpaceDE/>
        <w:autoSpaceDN/>
        <w:spacing w:line="360" w:lineRule="auto"/>
        <w:ind w:left="426"/>
        <w:jc w:val="both"/>
        <w:rPr>
          <w:rFonts w:ascii="Calibri" w:hAnsi="Calibri" w:cs="Calibri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Infiniband, QDR / EDR</w:t>
      </w:r>
    </w:p>
    <w:p>
      <w:pPr>
        <w:rPr>
          <w:rFonts w:ascii="Calibri" w:hAnsi="Calibri" w:cs="Calibri"/>
          <w:b/>
          <w:sz w:val="28"/>
          <w:szCs w:val="28"/>
        </w:rPr>
      </w:pPr>
    </w:p>
    <w:p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Wiring Diagram</w:t>
      </w:r>
    </w:p>
    <w:tbl>
      <w:tblPr>
        <w:tblStyle w:val="10"/>
        <w:tblpPr w:leftFromText="181" w:rightFromText="181" w:vertAnchor="text" w:horzAnchor="page" w:tblpX="994" w:tblpY="114"/>
        <w:tblOverlap w:val="never"/>
        <w:tblW w:w="10071" w:type="dxa"/>
        <w:tblInd w:w="0" w:type="dxa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164"/>
        <w:gridCol w:w="1227"/>
        <w:gridCol w:w="1666"/>
        <w:gridCol w:w="1668"/>
        <w:gridCol w:w="1408"/>
      </w:tblGrid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40" w:hRule="atLeast"/>
        </w:trPr>
        <w:tc>
          <w:tcPr>
            <w:tcW w:w="1938" w:type="dxa"/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X1</w:t>
            </w:r>
          </w:p>
        </w:tc>
        <w:tc>
          <w:tcPr>
            <w:tcW w:w="2164" w:type="dxa"/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X2</w:t>
            </w:r>
          </w:p>
        </w:tc>
        <w:tc>
          <w:tcPr>
            <w:tcW w:w="1227" w:type="dxa"/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REMARKS</w:t>
            </w:r>
          </w:p>
        </w:tc>
        <w:tc>
          <w:tcPr>
            <w:tcW w:w="1666" w:type="dxa"/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X1</w:t>
            </w:r>
          </w:p>
        </w:tc>
        <w:tc>
          <w:tcPr>
            <w:tcW w:w="1668" w:type="dxa"/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X2</w:t>
            </w:r>
          </w:p>
        </w:tc>
        <w:tc>
          <w:tcPr>
            <w:tcW w:w="1408" w:type="dxa"/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REMARKS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40" w:hRule="atLeast"/>
        </w:trPr>
        <w:tc>
          <w:tcPr>
            <w:tcW w:w="1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18(RX1-)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37(TX1-)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Pair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37(TX1-)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18(RX1-)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Pair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40" w:hRule="atLeast"/>
        </w:trPr>
        <w:tc>
          <w:tcPr>
            <w:tcW w:w="1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17(RX1+)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36(TX1+)</w:t>
            </w:r>
          </w:p>
        </w:tc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36(TX1+)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17(RX1+)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40" w:hRule="atLeast"/>
        </w:trPr>
        <w:tc>
          <w:tcPr>
            <w:tcW w:w="1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15(RX3-)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34(TX3-)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Pair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34(TX3-)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15(RX3-)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Pair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40" w:hRule="atLeast"/>
        </w:trPr>
        <w:tc>
          <w:tcPr>
            <w:tcW w:w="1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14(RX3+)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33(TX3+)</w:t>
            </w:r>
          </w:p>
        </w:tc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33(TX3+)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14(RX3+)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40" w:hRule="atLeast"/>
        </w:trPr>
        <w:tc>
          <w:tcPr>
            <w:tcW w:w="1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6(TX4+)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25(RX4+)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Pair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25(RX4+)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6(TX4+)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Pair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40" w:hRule="atLeast"/>
        </w:trPr>
        <w:tc>
          <w:tcPr>
            <w:tcW w:w="1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5(TX4-)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24(RX4-)</w:t>
            </w:r>
          </w:p>
        </w:tc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24(RX4-)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5(TX4-)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40" w:hRule="atLeast"/>
        </w:trPr>
        <w:tc>
          <w:tcPr>
            <w:tcW w:w="1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3(TX2+)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22(RX2+)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Pair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22(RX2+)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3(TX2+)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Pair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270" w:hRule="atLeast"/>
        </w:trPr>
        <w:tc>
          <w:tcPr>
            <w:tcW w:w="1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2(TX2-)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21(RX2-)</w:t>
            </w:r>
          </w:p>
        </w:tc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21(RX2-)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2(TX2-)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1050" w:hRule="atLeast"/>
        </w:trPr>
        <w:tc>
          <w:tcPr>
            <w:tcW w:w="1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1, 4, 7, 13, 16, 19, 20, 23, 26, 32, 35, 38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1, 4, 7, 13, 16, 19, 20, 23, 26, 32, 35, 38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8, 9, 10, 11, 12, 27, 28, 29, 30, 31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8, 9, 10, 11, 12, 27, 28, 29, 30, 31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EEPROM point at both ends</w:t>
            </w:r>
          </w:p>
        </w:tc>
      </w:tr>
    </w:tbl>
    <w:p>
      <w:pPr>
        <w:rPr>
          <w:rFonts w:ascii="Calibri" w:hAnsi="Calibri" w:cs="Calibri"/>
          <w:b/>
          <w:sz w:val="28"/>
          <w:szCs w:val="28"/>
        </w:rPr>
      </w:pPr>
    </w:p>
    <w:p>
      <w:pPr>
        <w:rPr>
          <w:rFonts w:ascii="Calibri" w:hAnsi="Calibri" w:cs="Calibri"/>
          <w:b/>
          <w:sz w:val="28"/>
          <w:szCs w:val="28"/>
        </w:rPr>
      </w:pPr>
    </w:p>
    <w:p>
      <w:pPr>
        <w:rPr>
          <w:rFonts w:ascii="Calibri" w:hAnsi="Calibri" w:cs="Calibri"/>
          <w:b/>
          <w:sz w:val="28"/>
          <w:szCs w:val="28"/>
        </w:rPr>
      </w:pPr>
    </w:p>
    <w:p>
      <w:pP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Electrical</w:t>
      </w:r>
      <w:r>
        <w:rPr>
          <w:rFonts w:ascii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Characteristics/</w:t>
      </w:r>
      <w:r>
        <w:rPr>
          <w:rFonts w:ascii="Calibri" w:hAnsi="Calibri" w:cs="Calibr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Signal Integrity</w:t>
      </w:r>
    </w:p>
    <w:tbl>
      <w:tblPr>
        <w:tblStyle w:val="10"/>
        <w:tblpPr w:leftFromText="181" w:rightFromText="181" w:vertAnchor="text" w:horzAnchor="page" w:tblpX="869" w:tblpY="114"/>
        <w:tblOverlap w:val="never"/>
        <w:tblW w:w="10074" w:type="dxa"/>
        <w:tblInd w:w="0" w:type="dxa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640"/>
        <w:gridCol w:w="1143"/>
        <w:gridCol w:w="708"/>
        <w:gridCol w:w="709"/>
        <w:gridCol w:w="709"/>
        <w:gridCol w:w="709"/>
        <w:gridCol w:w="567"/>
        <w:gridCol w:w="708"/>
        <w:gridCol w:w="1574"/>
      </w:tblGrid>
      <w:tr>
        <w:trPr>
          <w:trHeight w:val="454" w:hRule="atLeast"/>
        </w:trPr>
        <w:tc>
          <w:tcPr>
            <w:tcW w:w="324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27"/>
              <w:rPr>
                <w:rFonts w:eastAsia="宋体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Item</w:t>
            </w:r>
          </w:p>
        </w:tc>
        <w:tc>
          <w:tcPr>
            <w:tcW w:w="5253" w:type="dxa"/>
            <w:gridSpan w:val="7"/>
            <w:shd w:val="clear" w:color="auto" w:fill="F1F1F1" w:themeFill="background1" w:themeFillShade="F2"/>
            <w:vAlign w:val="center"/>
          </w:tcPr>
          <w:p>
            <w:pPr>
              <w:pStyle w:val="27"/>
              <w:rPr>
                <w:rFonts w:eastAsia="宋体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Requirement</w:t>
            </w:r>
          </w:p>
        </w:tc>
        <w:tc>
          <w:tcPr>
            <w:tcW w:w="1574" w:type="dxa"/>
            <w:shd w:val="clear" w:color="auto" w:fill="F1F1F1" w:themeFill="background1" w:themeFillShade="F2"/>
            <w:vAlign w:val="center"/>
          </w:tcPr>
          <w:p>
            <w:pPr>
              <w:pStyle w:val="27"/>
              <w:spacing w:before="1" w:line="312" w:lineRule="exact"/>
              <w:ind w:right="40"/>
              <w:rPr>
                <w:rFonts w:eastAsia="宋体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Test Condition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454" w:hRule="atLeast"/>
        </w:trPr>
        <w:tc>
          <w:tcPr>
            <w:tcW w:w="1607" w:type="dxa"/>
            <w:vMerge w:val="restart"/>
            <w:vAlign w:val="center"/>
          </w:tcPr>
          <w:p>
            <w:pPr>
              <w:pStyle w:val="27"/>
              <w:rPr>
                <w:b/>
                <w:sz w:val="21"/>
                <w:szCs w:val="21"/>
              </w:rPr>
            </w:pPr>
          </w:p>
          <w:p>
            <w:pPr>
              <w:pStyle w:val="27"/>
              <w:spacing w:before="43" w:line="300" w:lineRule="auto"/>
              <w:ind w:left="108" w:right="169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Differential Impedance</w:t>
            </w:r>
          </w:p>
        </w:tc>
        <w:tc>
          <w:tcPr>
            <w:tcW w:w="1640" w:type="dxa"/>
            <w:vAlign w:val="center"/>
          </w:tcPr>
          <w:p>
            <w:pPr>
              <w:ind w:left="210" w:leftChars="100" w:firstLine="29" w:firstLineChars="14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Cable</w:t>
            </w:r>
            <w:r>
              <w:rPr>
                <w:rFonts w:ascii="Calibri" w:hAnsi="Calibri" w:cs="Calibri" w:eastAsiaTheme="minorEastAsia"/>
              </w:rPr>
              <w:t xml:space="preserve"> </w:t>
            </w:r>
            <w:r>
              <w:rPr>
                <w:rFonts w:ascii="Calibri" w:hAnsi="Calibri" w:cs="Calibri"/>
              </w:rPr>
              <w:t>Impedance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105+5/-10Ω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Rise time of 25ps (20 % - 80 %).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454" w:hRule="atLeast"/>
        </w:trPr>
        <w:tc>
          <w:tcPr>
            <w:tcW w:w="1607" w:type="dxa"/>
            <w:vMerge w:val="continue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  <w:vAlign w:val="center"/>
          </w:tcPr>
          <w:p>
            <w:pPr>
              <w:ind w:left="136" w:leftChars="65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Paddle Card Impedance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100±10Ω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454" w:hRule="atLeast"/>
        </w:trPr>
        <w:tc>
          <w:tcPr>
            <w:tcW w:w="1607" w:type="dxa"/>
            <w:vMerge w:val="continue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  <w:vAlign w:val="center"/>
          </w:tcPr>
          <w:p>
            <w:pPr>
              <w:ind w:left="136" w:leftChars="65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Cable Termination</w:t>
            </w:r>
            <w:r>
              <w:rPr>
                <w:rFonts w:hint="eastAsia"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Impedance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100±15Ω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1710" w:hRule="atLeast"/>
        </w:trPr>
        <w:tc>
          <w:tcPr>
            <w:tcW w:w="3247" w:type="dxa"/>
            <w:gridSpan w:val="2"/>
            <w:vAlign w:val="center"/>
          </w:tcPr>
          <w:p>
            <w:pPr>
              <w:pStyle w:val="27"/>
              <w:spacing w:line="302" w:lineRule="auto"/>
              <w:ind w:right="503" w:firstLine="130" w:firstLineChars="6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Differential (Input/Output) </w:t>
            </w:r>
          </w:p>
          <w:p>
            <w:pPr>
              <w:pStyle w:val="27"/>
              <w:spacing w:line="302" w:lineRule="auto"/>
              <w:ind w:left="108" w:right="50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Return Loss </w:t>
            </w:r>
            <w:r>
              <w:rPr>
                <w:position w:val="3"/>
                <w:sz w:val="21"/>
                <w:szCs w:val="21"/>
              </w:rPr>
              <w:t>S</w:t>
            </w:r>
            <w:r>
              <w:rPr>
                <w:sz w:val="21"/>
                <w:szCs w:val="21"/>
                <w:vertAlign w:val="subscript"/>
              </w:rPr>
              <w:t>DD11</w:t>
            </w:r>
            <w:r>
              <w:rPr>
                <w:position w:val="3"/>
                <w:sz w:val="21"/>
                <w:szCs w:val="21"/>
              </w:rPr>
              <w:t>/S</w:t>
            </w:r>
            <w:r>
              <w:rPr>
                <w:sz w:val="21"/>
                <w:szCs w:val="21"/>
                <w:vertAlign w:val="subscript"/>
              </w:rPr>
              <w:t>DD22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pStyle w:val="27"/>
              <w:tabs>
                <w:tab w:val="left" w:pos="3720"/>
              </w:tabs>
              <w:spacing w:before="145" w:line="216" w:lineRule="exact"/>
              <w:ind w:firstLine="1680" w:firstLineChars="800"/>
              <w:jc w:val="both"/>
              <w:rPr>
                <w:i/>
                <w:sz w:val="21"/>
                <w:szCs w:val="21"/>
              </w:rPr>
            </w:pPr>
            <w:bookmarkStart w:id="0" w:name="_Hlk121218245"/>
            <w:bookmarkStart w:id="1" w:name="_Hlk121218270"/>
            <w:r>
              <w:rPr>
                <w:i/>
                <w:sz w:val="21"/>
                <w:szCs w:val="21"/>
              </w:rPr>
              <w:t>{16.5-2√f</w:t>
            </w:r>
            <w:r>
              <w:rPr>
                <w:i/>
                <w:sz w:val="21"/>
                <w:szCs w:val="21"/>
              </w:rPr>
              <w:tab/>
            </w:r>
            <w:r>
              <w:rPr>
                <w:i/>
                <w:sz w:val="21"/>
                <w:szCs w:val="21"/>
              </w:rPr>
              <w:t>0.05</w:t>
            </w:r>
            <w:r>
              <w:rPr>
                <w:rFonts w:eastAsia="宋体"/>
                <w:i/>
                <w:sz w:val="21"/>
                <w:szCs w:val="21"/>
              </w:rPr>
              <w:t>≤</w:t>
            </w:r>
            <w:r>
              <w:rPr>
                <w:i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&lt;</w:t>
            </w:r>
            <w:r>
              <w:rPr>
                <w:i/>
                <w:sz w:val="21"/>
                <w:szCs w:val="21"/>
              </w:rPr>
              <w:t>4.1}</w:t>
            </w:r>
            <w:bookmarkEnd w:id="0"/>
          </w:p>
          <w:p>
            <w:pPr>
              <w:pStyle w:val="27"/>
              <w:spacing w:line="211" w:lineRule="exact"/>
              <w:ind w:firstLine="142" w:firstLineChars="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Return_loss(f)≥</w:t>
            </w:r>
          </w:p>
          <w:p>
            <w:pPr>
              <w:pStyle w:val="27"/>
              <w:spacing w:line="212" w:lineRule="exact"/>
              <w:ind w:firstLine="1680" w:firstLineChars="80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position w:val="2"/>
                <w:sz w:val="21"/>
                <w:szCs w:val="21"/>
              </w:rPr>
              <w:t>{10.66-14log</w:t>
            </w:r>
            <w:r>
              <w:rPr>
                <w:i/>
                <w:sz w:val="21"/>
                <w:szCs w:val="21"/>
              </w:rPr>
              <w:t>10</w:t>
            </w:r>
            <w:r>
              <w:rPr>
                <w:i/>
                <w:position w:val="2"/>
                <w:sz w:val="21"/>
                <w:szCs w:val="21"/>
              </w:rPr>
              <w:t>(f/5.5)   4.1≤f≤19}</w:t>
            </w:r>
            <w:bookmarkEnd w:id="1"/>
          </w:p>
          <w:p>
            <w:pPr>
              <w:pStyle w:val="27"/>
              <w:ind w:left="107"/>
              <w:jc w:val="both"/>
              <w:rPr>
                <w:sz w:val="21"/>
                <w:szCs w:val="21"/>
              </w:rPr>
            </w:pPr>
          </w:p>
          <w:p>
            <w:pPr>
              <w:pStyle w:val="27"/>
              <w:ind w:left="10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Where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</w:rPr>
              <w:t>f is the frequency in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GHz</w:t>
            </w:r>
          </w:p>
          <w:p>
            <w:pPr>
              <w:pStyle w:val="27"/>
              <w:tabs>
                <w:tab w:val="left" w:pos="1370"/>
              </w:tabs>
              <w:spacing w:before="71"/>
              <w:ind w:left="10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Return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loss(f)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is the return loss at frequency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</w:t>
            </w:r>
          </w:p>
        </w:tc>
        <w:tc>
          <w:tcPr>
            <w:tcW w:w="1574" w:type="dxa"/>
            <w:vAlign w:val="center"/>
          </w:tcPr>
          <w:p>
            <w:pPr>
              <w:pStyle w:val="27"/>
              <w:ind w:righ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10MHz≤f≤19GHz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1935" w:hRule="atLeast"/>
        </w:trPr>
        <w:tc>
          <w:tcPr>
            <w:tcW w:w="3247" w:type="dxa"/>
            <w:gridSpan w:val="2"/>
            <w:vAlign w:val="center"/>
          </w:tcPr>
          <w:p>
            <w:pPr>
              <w:pStyle w:val="27"/>
              <w:spacing w:before="1"/>
              <w:rPr>
                <w:b/>
                <w:sz w:val="21"/>
                <w:szCs w:val="21"/>
              </w:rPr>
            </w:pPr>
          </w:p>
          <w:p>
            <w:pPr>
              <w:pStyle w:val="27"/>
              <w:spacing w:line="304" w:lineRule="auto"/>
              <w:ind w:left="108" w:right="50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Differential to common-mode (Input/Output) </w:t>
            </w:r>
          </w:p>
          <w:p>
            <w:pPr>
              <w:pStyle w:val="27"/>
              <w:spacing w:line="304" w:lineRule="auto"/>
              <w:ind w:left="108" w:right="50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Return Loss </w:t>
            </w:r>
            <w:r>
              <w:rPr>
                <w:position w:val="3"/>
                <w:sz w:val="21"/>
                <w:szCs w:val="21"/>
              </w:rPr>
              <w:t>S</w:t>
            </w:r>
            <w:r>
              <w:rPr>
                <w:sz w:val="21"/>
                <w:szCs w:val="21"/>
                <w:vertAlign w:val="subscript"/>
              </w:rPr>
              <w:t>CD11</w:t>
            </w:r>
            <w:r>
              <w:rPr>
                <w:position w:val="3"/>
                <w:sz w:val="21"/>
                <w:szCs w:val="21"/>
              </w:rPr>
              <w:t>/S</w:t>
            </w:r>
            <w:r>
              <w:rPr>
                <w:sz w:val="21"/>
                <w:szCs w:val="21"/>
                <w:vertAlign w:val="subscript"/>
              </w:rPr>
              <w:t>CD22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pStyle w:val="27"/>
              <w:tabs>
                <w:tab w:val="left" w:pos="3377"/>
              </w:tabs>
              <w:spacing w:before="167" w:line="205" w:lineRule="exact"/>
              <w:ind w:firstLine="1680" w:firstLineChars="80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{22-(20/25.78) f</w:t>
            </w:r>
            <w:r>
              <w:rPr>
                <w:i/>
                <w:sz w:val="21"/>
                <w:szCs w:val="21"/>
              </w:rPr>
              <w:tab/>
            </w:r>
            <w:r>
              <w:rPr>
                <w:i/>
                <w:sz w:val="21"/>
                <w:szCs w:val="21"/>
              </w:rPr>
              <w:t>0.01</w:t>
            </w:r>
            <w:r>
              <w:rPr>
                <w:rFonts w:eastAsia="宋体"/>
                <w:i/>
                <w:sz w:val="21"/>
                <w:szCs w:val="21"/>
              </w:rPr>
              <w:t>≤</w:t>
            </w:r>
            <w:r>
              <w:rPr>
                <w:i/>
                <w:sz w:val="21"/>
                <w:szCs w:val="21"/>
              </w:rPr>
              <w:t>f</w:t>
            </w:r>
            <w:r>
              <w:rPr>
                <w:color w:val="202124"/>
                <w:sz w:val="21"/>
                <w:szCs w:val="21"/>
                <w:shd w:val="clear" w:color="auto" w:fill="FFFFFF"/>
              </w:rPr>
              <w:t>&lt;</w:t>
            </w:r>
            <w:r>
              <w:rPr>
                <w:i/>
                <w:sz w:val="21"/>
                <w:szCs w:val="21"/>
              </w:rPr>
              <w:t>12.89}</w:t>
            </w:r>
          </w:p>
          <w:p>
            <w:pPr>
              <w:pStyle w:val="27"/>
              <w:spacing w:line="212" w:lineRule="exact"/>
              <w:ind w:firstLine="142" w:firstLineChars="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Return_loss(f)≥</w:t>
            </w:r>
          </w:p>
          <w:p>
            <w:pPr>
              <w:pStyle w:val="27"/>
              <w:tabs>
                <w:tab w:val="left" w:pos="3367"/>
              </w:tabs>
              <w:spacing w:line="225" w:lineRule="exact"/>
              <w:ind w:firstLine="1680" w:firstLineChars="80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{15-(6/25.78) f</w:t>
            </w:r>
            <w:r>
              <w:rPr>
                <w:i/>
                <w:sz w:val="21"/>
                <w:szCs w:val="21"/>
              </w:rPr>
              <w:tab/>
            </w:r>
            <w:r>
              <w:rPr>
                <w:i/>
                <w:sz w:val="21"/>
                <w:szCs w:val="21"/>
              </w:rPr>
              <w:t>12.89≤f≤19}</w:t>
            </w:r>
          </w:p>
          <w:p>
            <w:pPr>
              <w:pStyle w:val="27"/>
              <w:spacing w:before="160"/>
              <w:ind w:left="10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Where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</w:rPr>
              <w:t>f is the frequency in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GHz</w:t>
            </w:r>
          </w:p>
          <w:p>
            <w:pPr>
              <w:pStyle w:val="27"/>
              <w:spacing w:before="2" w:line="310" w:lineRule="atLeast"/>
              <w:ind w:left="107" w:right="4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Return_loss(f) is the Differential to common-mode return loss at frequency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</w:t>
            </w:r>
          </w:p>
        </w:tc>
        <w:tc>
          <w:tcPr>
            <w:tcW w:w="1574" w:type="dxa"/>
            <w:vAlign w:val="center"/>
          </w:tcPr>
          <w:p>
            <w:pPr>
              <w:pStyle w:val="27"/>
              <w:ind w:righ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10MHz≤f≤19GHz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1456" w:hRule="atLeast"/>
        </w:trPr>
        <w:tc>
          <w:tcPr>
            <w:tcW w:w="3247" w:type="dxa"/>
            <w:gridSpan w:val="2"/>
            <w:vAlign w:val="center"/>
          </w:tcPr>
          <w:p>
            <w:pPr>
              <w:pStyle w:val="27"/>
              <w:spacing w:before="23" w:line="302" w:lineRule="auto"/>
              <w:ind w:left="108" w:right="50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Common-mode to Common-mode (Input/Output)  </w:t>
            </w:r>
          </w:p>
          <w:p>
            <w:pPr>
              <w:pStyle w:val="27"/>
              <w:spacing w:before="23" w:line="302" w:lineRule="auto"/>
              <w:ind w:left="108" w:right="50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Return Loss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position w:val="3"/>
                <w:sz w:val="21"/>
                <w:szCs w:val="21"/>
              </w:rPr>
              <w:t>S</w:t>
            </w:r>
            <w:r>
              <w:rPr>
                <w:sz w:val="21"/>
                <w:szCs w:val="21"/>
                <w:vertAlign w:val="subscript"/>
              </w:rPr>
              <w:t>CC11</w:t>
            </w:r>
            <w:r>
              <w:rPr>
                <w:position w:val="3"/>
                <w:sz w:val="21"/>
                <w:szCs w:val="21"/>
              </w:rPr>
              <w:t>/S</w:t>
            </w:r>
            <w:r>
              <w:rPr>
                <w:sz w:val="21"/>
                <w:szCs w:val="21"/>
                <w:vertAlign w:val="subscript"/>
              </w:rPr>
              <w:t>CC22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pStyle w:val="27"/>
              <w:spacing w:before="13" w:line="283" w:lineRule="auto"/>
              <w:ind w:right="2303" w:firstLine="142" w:firstLineChars="68"/>
              <w:jc w:val="left"/>
              <w:rPr>
                <w:spacing w:val="-3"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Return_loss(f)</w:t>
            </w:r>
            <w:r>
              <w:rPr>
                <w:sz w:val="21"/>
                <w:szCs w:val="21"/>
              </w:rPr>
              <w:t xml:space="preserve">≥ 2dB    </w:t>
            </w:r>
            <w:r>
              <w:rPr>
                <w:spacing w:val="-3"/>
                <w:sz w:val="21"/>
                <w:szCs w:val="21"/>
              </w:rPr>
              <w:t>0.2</w:t>
            </w:r>
            <w:r>
              <w:rPr>
                <w:i/>
                <w:spacing w:val="-3"/>
                <w:sz w:val="21"/>
                <w:szCs w:val="21"/>
              </w:rPr>
              <w:t>≤</w:t>
            </w:r>
            <w:r>
              <w:rPr>
                <w:spacing w:val="-3"/>
                <w:sz w:val="21"/>
                <w:szCs w:val="21"/>
              </w:rPr>
              <w:t>f</w:t>
            </w:r>
            <w:r>
              <w:rPr>
                <w:i/>
                <w:spacing w:val="-3"/>
                <w:sz w:val="21"/>
                <w:szCs w:val="21"/>
              </w:rPr>
              <w:t>≤</w:t>
            </w:r>
            <w:r>
              <w:rPr>
                <w:spacing w:val="-3"/>
                <w:sz w:val="21"/>
                <w:szCs w:val="21"/>
              </w:rPr>
              <w:t xml:space="preserve">19 </w:t>
            </w:r>
          </w:p>
          <w:p>
            <w:pPr>
              <w:pStyle w:val="27"/>
              <w:tabs>
                <w:tab w:val="left" w:pos="2636"/>
              </w:tabs>
              <w:spacing w:before="13" w:line="283" w:lineRule="auto"/>
              <w:ind w:left="107" w:right="230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Where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</w:rPr>
              <w:t>f is the frequency in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GHz</w:t>
            </w:r>
          </w:p>
          <w:p>
            <w:pPr>
              <w:pStyle w:val="27"/>
              <w:spacing w:before="2" w:line="310" w:lineRule="atLeast"/>
              <w:ind w:left="107" w:right="184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Return_loss(f) is the common-mode to common-mode return loss at frequency f</w:t>
            </w:r>
          </w:p>
        </w:tc>
        <w:tc>
          <w:tcPr>
            <w:tcW w:w="1574" w:type="dxa"/>
            <w:vAlign w:val="center"/>
          </w:tcPr>
          <w:p>
            <w:pPr>
              <w:pStyle w:val="27"/>
              <w:ind w:righ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10MHz</w:t>
            </w:r>
            <w:r>
              <w:rPr>
                <w:color w:val="202124"/>
                <w:sz w:val="21"/>
                <w:szCs w:val="21"/>
                <w:shd w:val="clear" w:color="auto" w:fill="FFFFFF"/>
              </w:rPr>
              <w:t>≤</w:t>
            </w:r>
            <w:r>
              <w:rPr>
                <w:sz w:val="21"/>
                <w:szCs w:val="21"/>
              </w:rPr>
              <w:t>f</w:t>
            </w:r>
            <w:r>
              <w:rPr>
                <w:color w:val="202124"/>
                <w:sz w:val="21"/>
                <w:szCs w:val="21"/>
                <w:shd w:val="clear" w:color="auto" w:fill="FFFFFF"/>
              </w:rPr>
              <w:t>≤</w:t>
            </w:r>
            <w:r>
              <w:rPr>
                <w:sz w:val="21"/>
                <w:szCs w:val="21"/>
              </w:rPr>
              <w:t>19GHz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626" w:hRule="atLeast"/>
        </w:trPr>
        <w:tc>
          <w:tcPr>
            <w:tcW w:w="3247" w:type="dxa"/>
            <w:gridSpan w:val="2"/>
            <w:vMerge w:val="restart"/>
            <w:vAlign w:val="center"/>
          </w:tcPr>
          <w:p>
            <w:pPr>
              <w:pStyle w:val="27"/>
              <w:spacing w:line="300" w:lineRule="auto"/>
              <w:ind w:firstLine="130" w:firstLineChars="6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Differential Insertion Loss</w:t>
            </w:r>
          </w:p>
          <w:p>
            <w:pPr>
              <w:pStyle w:val="27"/>
              <w:spacing w:line="300" w:lineRule="auto"/>
              <w:ind w:firstLine="130" w:firstLineChars="6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(S</w:t>
            </w:r>
            <w:r>
              <w:rPr>
                <w:sz w:val="21"/>
                <w:szCs w:val="21"/>
                <w:vertAlign w:val="subscript"/>
              </w:rPr>
              <w:t>DD21</w:t>
            </w:r>
            <w:r>
              <w:rPr>
                <w:sz w:val="21"/>
                <w:szCs w:val="21"/>
              </w:rPr>
              <w:t xml:space="preserve"> Max.)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pStyle w:val="27"/>
              <w:spacing w:before="35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Differential Insertion Loss Max. For TPa to TPb Excluding</w:t>
            </w:r>
          </w:p>
          <w:p>
            <w:pPr>
              <w:pStyle w:val="27"/>
              <w:spacing w:before="7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Test fixture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pStyle w:val="27"/>
              <w:spacing w:befor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10MHz</w:t>
            </w:r>
            <w:r>
              <w:rPr>
                <w:color w:val="202124"/>
                <w:sz w:val="21"/>
                <w:szCs w:val="21"/>
                <w:shd w:val="clear" w:color="auto" w:fill="FFFFFF"/>
              </w:rPr>
              <w:t>≤</w:t>
            </w:r>
            <w:r>
              <w:rPr>
                <w:sz w:val="21"/>
                <w:szCs w:val="21"/>
              </w:rPr>
              <w:t>f</w:t>
            </w:r>
            <w:r>
              <w:rPr>
                <w:color w:val="202124"/>
                <w:sz w:val="21"/>
                <w:szCs w:val="21"/>
                <w:shd w:val="clear" w:color="auto" w:fill="FFFFFF"/>
              </w:rPr>
              <w:t>≤</w:t>
            </w:r>
            <w:r>
              <w:rPr>
                <w:sz w:val="21"/>
                <w:szCs w:val="21"/>
              </w:rPr>
              <w:t>19GHz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97" w:hRule="atLeast"/>
        </w:trPr>
        <w:tc>
          <w:tcPr>
            <w:tcW w:w="3247" w:type="dxa"/>
            <w:gridSpan w:val="2"/>
            <w:vMerge w:val="continue"/>
            <w:vAlign w:val="center"/>
          </w:tcPr>
          <w:p>
            <w:pPr>
              <w:pStyle w:val="27"/>
              <w:spacing w:line="300" w:lineRule="auto"/>
              <w:ind w:firstLine="130" w:firstLineChars="62"/>
              <w:jc w:val="both"/>
              <w:rPr>
                <w:sz w:val="21"/>
                <w:szCs w:val="21"/>
              </w:rPr>
            </w:pPr>
          </w:p>
        </w:tc>
        <w:tc>
          <w:tcPr>
            <w:tcW w:w="1143" w:type="dxa"/>
            <w:tcBorders>
              <w:tl2br w:val="single" w:color="D0CECE" w:themeColor="background2" w:themeShade="E6" w:sz="4" w:space="0"/>
            </w:tcBorders>
            <w:vAlign w:val="center"/>
          </w:tcPr>
          <w:p>
            <w:pPr>
              <w:pStyle w:val="27"/>
              <w:spacing w:before="35"/>
              <w:ind w:firstLine="180" w:firstLineChars="10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     </w:t>
            </w:r>
            <w:r>
              <w:rPr>
                <w:sz w:val="18"/>
                <w:szCs w:val="18"/>
              </w:rPr>
              <w:t>F</w:t>
            </w:r>
          </w:p>
          <w:p>
            <w:pPr>
              <w:pStyle w:val="27"/>
              <w:spacing w:before="35"/>
              <w:ind w:firstLine="140" w:firstLineChars="78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AWG</w:t>
            </w:r>
          </w:p>
        </w:tc>
        <w:tc>
          <w:tcPr>
            <w:tcW w:w="708" w:type="dxa"/>
            <w:vAlign w:val="center"/>
          </w:tcPr>
          <w:p>
            <w:pPr>
              <w:pStyle w:val="27"/>
              <w:spacing w:befor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1.25GHz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2.5GHz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5.0GHz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7.0GHz</w:t>
            </w:r>
          </w:p>
        </w:tc>
        <w:tc>
          <w:tcPr>
            <w:tcW w:w="567" w:type="dxa"/>
            <w:vAlign w:val="center"/>
          </w:tcPr>
          <w:p>
            <w:pPr>
              <w:pStyle w:val="27"/>
              <w:spacing w:befor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10Ghz</w:t>
            </w:r>
          </w:p>
        </w:tc>
        <w:tc>
          <w:tcPr>
            <w:tcW w:w="708" w:type="dxa"/>
            <w:vAlign w:val="center"/>
          </w:tcPr>
          <w:p>
            <w:pPr>
              <w:pStyle w:val="27"/>
              <w:spacing w:befor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12.89Ghz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pStyle w:val="27"/>
              <w:spacing w:before="1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97" w:hRule="atLeast"/>
        </w:trPr>
        <w:tc>
          <w:tcPr>
            <w:tcW w:w="3247" w:type="dxa"/>
            <w:gridSpan w:val="2"/>
            <w:vMerge w:val="continue"/>
            <w:vAlign w:val="center"/>
          </w:tcPr>
          <w:p>
            <w:pPr>
              <w:pStyle w:val="27"/>
              <w:spacing w:line="300" w:lineRule="auto"/>
              <w:ind w:firstLine="130" w:firstLineChars="62"/>
              <w:jc w:val="both"/>
              <w:rPr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27"/>
              <w:spacing w:before="35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30(1m) Max.</w:t>
            </w:r>
          </w:p>
        </w:tc>
        <w:tc>
          <w:tcPr>
            <w:tcW w:w="708" w:type="dxa"/>
            <w:vAlign w:val="center"/>
          </w:tcPr>
          <w:p>
            <w:pPr>
              <w:pStyle w:val="27"/>
              <w:spacing w:before="35"/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4.5dB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5.4dB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6.3dB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7.5dB</w:t>
            </w:r>
          </w:p>
        </w:tc>
        <w:tc>
          <w:tcPr>
            <w:tcW w:w="567" w:type="dxa"/>
            <w:vAlign w:val="center"/>
          </w:tcPr>
          <w:p>
            <w:pPr>
              <w:pStyle w:val="27"/>
              <w:spacing w:befor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8.5dB</w:t>
            </w:r>
          </w:p>
        </w:tc>
        <w:tc>
          <w:tcPr>
            <w:tcW w:w="708" w:type="dxa"/>
            <w:vAlign w:val="center"/>
          </w:tcPr>
          <w:p>
            <w:pPr>
              <w:pStyle w:val="27"/>
              <w:spacing w:befor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10.5dB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pStyle w:val="27"/>
              <w:spacing w:before="1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97" w:hRule="atLeast"/>
        </w:trPr>
        <w:tc>
          <w:tcPr>
            <w:tcW w:w="3247" w:type="dxa"/>
            <w:gridSpan w:val="2"/>
            <w:vMerge w:val="continue"/>
            <w:vAlign w:val="center"/>
          </w:tcPr>
          <w:p>
            <w:pPr>
              <w:pStyle w:val="27"/>
              <w:spacing w:line="300" w:lineRule="auto"/>
              <w:ind w:firstLine="130" w:firstLineChars="62"/>
              <w:jc w:val="both"/>
              <w:rPr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27"/>
              <w:spacing w:before="35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30/28(3m) Max.</w:t>
            </w:r>
          </w:p>
        </w:tc>
        <w:tc>
          <w:tcPr>
            <w:tcW w:w="708" w:type="dxa"/>
            <w:vAlign w:val="center"/>
          </w:tcPr>
          <w:p>
            <w:pPr>
              <w:pStyle w:val="27"/>
              <w:spacing w:before="35"/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7.5dB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9.5dB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12.2dB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14.8dB</w:t>
            </w:r>
          </w:p>
        </w:tc>
        <w:tc>
          <w:tcPr>
            <w:tcW w:w="567" w:type="dxa"/>
            <w:vAlign w:val="center"/>
          </w:tcPr>
          <w:p>
            <w:pPr>
              <w:pStyle w:val="27"/>
              <w:spacing w:befor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18.0dB</w:t>
            </w:r>
          </w:p>
        </w:tc>
        <w:tc>
          <w:tcPr>
            <w:tcW w:w="708" w:type="dxa"/>
            <w:vAlign w:val="center"/>
          </w:tcPr>
          <w:p>
            <w:pPr>
              <w:pStyle w:val="27"/>
              <w:spacing w:befor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21.5dB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pStyle w:val="27"/>
              <w:spacing w:before="1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97" w:hRule="atLeast"/>
        </w:trPr>
        <w:tc>
          <w:tcPr>
            <w:tcW w:w="3247" w:type="dxa"/>
            <w:gridSpan w:val="2"/>
            <w:vMerge w:val="continue"/>
            <w:vAlign w:val="center"/>
          </w:tcPr>
          <w:p>
            <w:pPr>
              <w:pStyle w:val="27"/>
              <w:spacing w:line="300" w:lineRule="auto"/>
              <w:ind w:firstLine="130" w:firstLineChars="62"/>
              <w:jc w:val="both"/>
              <w:rPr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27"/>
              <w:spacing w:before="35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26(3m) Max.</w:t>
            </w:r>
          </w:p>
        </w:tc>
        <w:tc>
          <w:tcPr>
            <w:tcW w:w="708" w:type="dxa"/>
            <w:vAlign w:val="center"/>
          </w:tcPr>
          <w:p>
            <w:pPr>
              <w:pStyle w:val="27"/>
              <w:spacing w:before="35"/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5.7dB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7.2dB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 dB</w:t>
            </w:r>
          </w:p>
        </w:tc>
        <w:tc>
          <w:tcPr>
            <w:tcW w:w="709" w:type="dxa"/>
            <w:vAlign w:val="center"/>
          </w:tcPr>
          <w:p>
            <w:pPr>
              <w:pStyle w:val="27"/>
              <w:spacing w:befor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11.9dB</w:t>
            </w:r>
          </w:p>
        </w:tc>
        <w:tc>
          <w:tcPr>
            <w:tcW w:w="567" w:type="dxa"/>
            <w:vAlign w:val="center"/>
          </w:tcPr>
          <w:p>
            <w:pPr>
              <w:pStyle w:val="27"/>
              <w:spacing w:befor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14.1dB</w:t>
            </w:r>
          </w:p>
        </w:tc>
        <w:tc>
          <w:tcPr>
            <w:tcW w:w="708" w:type="dxa"/>
            <w:vAlign w:val="center"/>
          </w:tcPr>
          <w:p>
            <w:pPr>
              <w:pStyle w:val="27"/>
              <w:spacing w:befor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16.5dB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pStyle w:val="27"/>
              <w:spacing w:before="1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97" w:hRule="atLeast"/>
        </w:trPr>
        <w:tc>
          <w:tcPr>
            <w:tcW w:w="3247" w:type="dxa"/>
            <w:gridSpan w:val="2"/>
            <w:vMerge w:val="continue"/>
            <w:vAlign w:val="center"/>
          </w:tcPr>
          <w:p>
            <w:pPr>
              <w:pStyle w:val="27"/>
              <w:spacing w:line="300" w:lineRule="auto"/>
              <w:ind w:firstLine="130" w:firstLineChars="62"/>
              <w:jc w:val="both"/>
              <w:rPr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27"/>
              <w:spacing w:before="35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26/25(5m) Max.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7.8dB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10.0dB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13.5dB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16.0dB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19.0dB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22.0dB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pStyle w:val="27"/>
              <w:spacing w:before="1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97" w:hRule="atLeast"/>
        </w:trPr>
        <w:tc>
          <w:tcPr>
            <w:tcW w:w="3247" w:type="dxa"/>
            <w:gridSpan w:val="2"/>
            <w:vAlign w:val="center"/>
          </w:tcPr>
          <w:p>
            <w:pPr>
              <w:pStyle w:val="27"/>
              <w:spacing w:before="194" w:line="309" w:lineRule="auto"/>
              <w:ind w:left="108" w:right="916"/>
              <w:jc w:val="left"/>
              <w:rPr>
                <w:sz w:val="21"/>
              </w:rPr>
            </w:pPr>
            <w:r>
              <w:rPr>
                <w:sz w:val="21"/>
              </w:rPr>
              <w:t>Differential to common-mode Conversion Loss-Differential Insertion</w:t>
            </w:r>
          </w:p>
          <w:p>
            <w:pPr>
              <w:pStyle w:val="27"/>
              <w:spacing w:line="300" w:lineRule="auto"/>
              <w:ind w:firstLine="130" w:firstLineChars="62"/>
              <w:jc w:val="left"/>
              <w:rPr>
                <w:sz w:val="21"/>
                <w:szCs w:val="21"/>
              </w:rPr>
            </w:pPr>
            <w:r>
              <w:rPr>
                <w:sz w:val="21"/>
              </w:rPr>
              <w:t>Loss (S</w:t>
            </w:r>
            <w:r>
              <w:rPr>
                <w:sz w:val="21"/>
                <w:vertAlign w:val="subscript"/>
              </w:rPr>
              <w:t>CD21</w:t>
            </w:r>
            <w:r>
              <w:rPr>
                <w:sz w:val="21"/>
              </w:rPr>
              <w:t>-S</w:t>
            </w:r>
            <w:r>
              <w:rPr>
                <w:sz w:val="21"/>
                <w:vertAlign w:val="subscript"/>
              </w:rPr>
              <w:t>DD21</w:t>
            </w:r>
            <w:r>
              <w:rPr>
                <w:sz w:val="21"/>
              </w:rPr>
              <w:t>)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pStyle w:val="27"/>
              <w:tabs>
                <w:tab w:val="left" w:pos="3890"/>
              </w:tabs>
              <w:spacing w:before="184"/>
              <w:ind w:firstLine="2520" w:firstLineChars="120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{10</w:t>
            </w:r>
            <w:r>
              <w:rPr>
                <w:i/>
                <w:sz w:val="21"/>
                <w:szCs w:val="21"/>
              </w:rPr>
              <w:tab/>
            </w:r>
            <w:r>
              <w:rPr>
                <w:i/>
                <w:sz w:val="21"/>
                <w:szCs w:val="21"/>
              </w:rPr>
              <w:t>0.01</w:t>
            </w:r>
            <w:r>
              <w:rPr>
                <w:rFonts w:eastAsia="Arial Unicode MS"/>
                <w:sz w:val="21"/>
                <w:szCs w:val="21"/>
              </w:rPr>
              <w:t>≤</w:t>
            </w:r>
            <w:r>
              <w:rPr>
                <w:i/>
                <w:sz w:val="21"/>
                <w:szCs w:val="21"/>
              </w:rPr>
              <w:t>f</w:t>
            </w:r>
            <w:r>
              <w:rPr>
                <w:color w:val="202124"/>
                <w:sz w:val="21"/>
                <w:szCs w:val="21"/>
                <w:shd w:val="clear" w:color="auto" w:fill="FFFFFF"/>
              </w:rPr>
              <w:t>&lt;</w:t>
            </w:r>
            <w:r>
              <w:rPr>
                <w:i/>
                <w:sz w:val="21"/>
                <w:szCs w:val="21"/>
              </w:rPr>
              <w:t>12.89}</w:t>
            </w:r>
          </w:p>
          <w:p>
            <w:pPr>
              <w:pStyle w:val="27"/>
              <w:tabs>
                <w:tab w:val="left" w:pos="3850"/>
              </w:tabs>
              <w:spacing w:before="34" w:line="344" w:lineRule="exact"/>
              <w:ind w:left="108"/>
              <w:jc w:val="both"/>
              <w:rPr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Conversion_loss(f)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IL(f)</w:t>
            </w:r>
            <w:r>
              <w:rPr>
                <w:color w:val="202124"/>
                <w:sz w:val="21"/>
                <w:szCs w:val="21"/>
                <w:shd w:val="clear" w:color="auto" w:fill="FFFFFF"/>
              </w:rPr>
              <w:t xml:space="preserve">≥ </w:t>
            </w:r>
          </w:p>
          <w:p>
            <w:pPr>
              <w:pStyle w:val="27"/>
              <w:tabs>
                <w:tab w:val="left" w:pos="3850"/>
              </w:tabs>
              <w:spacing w:before="34" w:line="344" w:lineRule="exact"/>
              <w:ind w:left="108" w:firstLine="2310" w:firstLineChars="1100"/>
              <w:jc w:val="both"/>
              <w:rPr>
                <w:i/>
                <w:sz w:val="21"/>
                <w:szCs w:val="21"/>
              </w:rPr>
            </w:pPr>
            <w:r>
              <w:rPr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i/>
                <w:position w:val="11"/>
                <w:sz w:val="21"/>
                <w:szCs w:val="21"/>
              </w:rPr>
              <w:t>{27-(29/22) f</w:t>
            </w:r>
            <w:r>
              <w:rPr>
                <w:i/>
                <w:position w:val="11"/>
                <w:sz w:val="21"/>
                <w:szCs w:val="21"/>
              </w:rPr>
              <w:tab/>
            </w:r>
            <w:r>
              <w:rPr>
                <w:i/>
                <w:position w:val="11"/>
                <w:sz w:val="21"/>
                <w:szCs w:val="21"/>
              </w:rPr>
              <w:t>12.89</w:t>
            </w:r>
            <w:r>
              <w:rPr>
                <w:rFonts w:eastAsia="宋体"/>
                <w:position w:val="11"/>
                <w:sz w:val="21"/>
                <w:szCs w:val="21"/>
              </w:rPr>
              <w:t>≤</w:t>
            </w:r>
            <w:r>
              <w:rPr>
                <w:i/>
                <w:position w:val="11"/>
                <w:sz w:val="21"/>
                <w:szCs w:val="21"/>
              </w:rPr>
              <w:t>f</w:t>
            </w:r>
            <w:r>
              <w:rPr>
                <w:rFonts w:eastAsia="宋体"/>
                <w:i/>
                <w:position w:val="11"/>
                <w:sz w:val="21"/>
                <w:szCs w:val="21"/>
              </w:rPr>
              <w:t>﹤</w:t>
            </w:r>
            <w:r>
              <w:rPr>
                <w:i/>
                <w:position w:val="11"/>
                <w:sz w:val="21"/>
                <w:szCs w:val="21"/>
              </w:rPr>
              <w:t>15.7}</w:t>
            </w:r>
          </w:p>
          <w:p>
            <w:pPr>
              <w:pStyle w:val="27"/>
              <w:spacing w:before="165"/>
              <w:ind w:firstLine="140" w:firstLineChars="6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Where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f is the frequency in GHz </w:t>
            </w:r>
          </w:p>
          <w:p>
            <w:pPr>
              <w:pStyle w:val="27"/>
              <w:tabs>
                <w:tab w:val="left" w:pos="440"/>
                <w:tab w:val="left" w:pos="1740"/>
                <w:tab w:val="left" w:pos="2484"/>
                <w:tab w:val="left" w:pos="2522"/>
              </w:tabs>
              <w:spacing w:before="71" w:line="309" w:lineRule="auto"/>
              <w:ind w:left="108" w:right="397"/>
              <w:jc w:val="left"/>
              <w:rPr>
                <w:sz w:val="21"/>
              </w:rPr>
            </w:pPr>
            <w:r>
              <w:rPr>
                <w:sz w:val="21"/>
              </w:rPr>
              <w:t>Conversion loss (f</w:t>
            </w:r>
            <w:r>
              <w:rPr>
                <w:spacing w:val="-5"/>
                <w:sz w:val="21"/>
              </w:rPr>
              <w:t>)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is the cable assembly differential to common-mode conversion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loss</w:t>
            </w:r>
          </w:p>
          <w:p>
            <w:pPr>
              <w:pStyle w:val="27"/>
              <w:spacing w:before="35"/>
              <w:ind w:firstLine="140" w:firstLineChars="67"/>
              <w:jc w:val="left"/>
              <w:rPr>
                <w:sz w:val="18"/>
                <w:szCs w:val="18"/>
              </w:rPr>
            </w:pPr>
            <w:r>
              <w:rPr>
                <w:sz w:val="21"/>
              </w:rPr>
              <w:t>IL(f) is the cable assembly insertion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loss</w:t>
            </w:r>
          </w:p>
        </w:tc>
        <w:tc>
          <w:tcPr>
            <w:tcW w:w="1574" w:type="dxa"/>
            <w:vAlign w:val="center"/>
          </w:tcPr>
          <w:p>
            <w:pPr>
              <w:pStyle w:val="27"/>
              <w:spacing w:befor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10MHz≤f ≤19GHz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97" w:hRule="atLeast"/>
        </w:trPr>
        <w:tc>
          <w:tcPr>
            <w:tcW w:w="3247" w:type="dxa"/>
            <w:gridSpan w:val="2"/>
            <w:vAlign w:val="center"/>
          </w:tcPr>
          <w:p>
            <w:pPr>
              <w:pStyle w:val="27"/>
              <w:spacing w:before="22" w:line="300" w:lineRule="auto"/>
              <w:ind w:left="108" w:right="133"/>
              <w:jc w:val="left"/>
              <w:rPr>
                <w:sz w:val="21"/>
              </w:rPr>
            </w:pPr>
            <w:r>
              <w:rPr>
                <w:sz w:val="21"/>
              </w:rPr>
              <w:t>MDNEXT (multiple disturbers</w:t>
            </w:r>
            <w:r>
              <w:rPr>
                <w:rFonts w:hint="eastAsia" w:eastAsiaTheme="minorEastAsia"/>
                <w:sz w:val="21"/>
                <w:lang w:eastAsia="zh-CN"/>
              </w:rPr>
              <w:t xml:space="preserve"> </w:t>
            </w:r>
            <w:r>
              <w:rPr>
                <w:sz w:val="21"/>
              </w:rPr>
              <w:t>near-end crosstalk)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pStyle w:val="27"/>
              <w:spacing w:before="35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≥</w:t>
            </w:r>
            <w:r>
              <w:rPr>
                <w:sz w:val="21"/>
              </w:rPr>
              <w:t>35dB @12.89GHz</w:t>
            </w:r>
          </w:p>
        </w:tc>
        <w:tc>
          <w:tcPr>
            <w:tcW w:w="1574" w:type="dxa"/>
            <w:vAlign w:val="center"/>
          </w:tcPr>
          <w:p>
            <w:pPr>
              <w:pStyle w:val="27"/>
              <w:spacing w:before="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10MHz</w:t>
            </w:r>
            <w:r>
              <w:rPr>
                <w:color w:val="202124"/>
                <w:sz w:val="21"/>
                <w:szCs w:val="21"/>
                <w:shd w:val="clear" w:color="auto" w:fill="FFFFFF"/>
              </w:rPr>
              <w:t>≤</w:t>
            </w:r>
            <w:r>
              <w:rPr>
                <w:sz w:val="21"/>
                <w:szCs w:val="21"/>
              </w:rPr>
              <w:t xml:space="preserve">f </w:t>
            </w:r>
            <w:r>
              <w:rPr>
                <w:color w:val="202124"/>
                <w:sz w:val="21"/>
                <w:szCs w:val="21"/>
                <w:shd w:val="clear" w:color="auto" w:fill="FFFFFF"/>
              </w:rPr>
              <w:t>≤</w:t>
            </w:r>
            <w:r>
              <w:rPr>
                <w:sz w:val="21"/>
                <w:szCs w:val="21"/>
              </w:rPr>
              <w:t>19GHz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397" w:hRule="atLeast"/>
        </w:trPr>
        <w:tc>
          <w:tcPr>
            <w:tcW w:w="3247" w:type="dxa"/>
            <w:gridSpan w:val="2"/>
            <w:vAlign w:val="center"/>
          </w:tcPr>
          <w:p>
            <w:pPr>
              <w:pStyle w:val="27"/>
              <w:spacing w:line="300" w:lineRule="auto"/>
              <w:ind w:firstLine="130" w:firstLineChars="62"/>
              <w:jc w:val="both"/>
              <w:rPr>
                <w:sz w:val="21"/>
                <w:szCs w:val="21"/>
              </w:rPr>
            </w:pPr>
            <w:r>
              <w:rPr>
                <w:sz w:val="21"/>
              </w:rPr>
              <w:t>Intra Skew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pStyle w:val="27"/>
              <w:spacing w:before="35"/>
              <w:rPr>
                <w:sz w:val="18"/>
                <w:szCs w:val="18"/>
              </w:rPr>
            </w:pPr>
            <w:r>
              <w:rPr>
                <w:sz w:val="21"/>
              </w:rPr>
              <w:t>15ps/m</w:t>
            </w:r>
          </w:p>
        </w:tc>
        <w:tc>
          <w:tcPr>
            <w:tcW w:w="1574" w:type="dxa"/>
            <w:vAlign w:val="center"/>
          </w:tcPr>
          <w:p>
            <w:pPr>
              <w:pStyle w:val="27"/>
              <w:spacing w:befor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10MHz</w:t>
            </w:r>
            <w:r>
              <w:rPr>
                <w:color w:val="202124"/>
                <w:sz w:val="21"/>
                <w:szCs w:val="21"/>
                <w:shd w:val="clear" w:color="auto" w:fill="FFFFFF"/>
              </w:rPr>
              <w:t>≤</w:t>
            </w:r>
            <w:r>
              <w:rPr>
                <w:sz w:val="21"/>
                <w:szCs w:val="21"/>
              </w:rPr>
              <w:t xml:space="preserve">f </w:t>
            </w:r>
            <w:r>
              <w:rPr>
                <w:color w:val="202124"/>
                <w:sz w:val="21"/>
                <w:szCs w:val="21"/>
                <w:shd w:val="clear" w:color="auto" w:fill="FFFFFF"/>
              </w:rPr>
              <w:t>≤</w:t>
            </w:r>
            <w:r>
              <w:rPr>
                <w:sz w:val="21"/>
                <w:szCs w:val="21"/>
              </w:rPr>
              <w:t>19GHz</w:t>
            </w:r>
          </w:p>
        </w:tc>
      </w:tr>
    </w:tbl>
    <w:p>
      <w:pPr>
        <w:spacing w:line="360" w:lineRule="auto"/>
        <w:rPr>
          <w:rFonts w:ascii="Calibri" w:hAnsi="Calibri" w:cs="Calibr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Calibri" w:hAnsi="Calibri" w:cs="Calibr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Other Electrical Performance</w:t>
      </w:r>
    </w:p>
    <w:tbl>
      <w:tblPr>
        <w:tblStyle w:val="10"/>
        <w:tblpPr w:leftFromText="181" w:rightFromText="181" w:vertAnchor="text" w:horzAnchor="page" w:tblpX="974" w:tblpY="114"/>
        <w:tblOverlap w:val="never"/>
        <w:tblW w:w="10102" w:type="dxa"/>
        <w:tblInd w:w="0" w:type="dxa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3113"/>
        <w:gridCol w:w="4400"/>
      </w:tblGrid>
      <w:tr>
        <w:trPr>
          <w:trHeight w:val="454" w:hRule="atLeast"/>
        </w:trPr>
        <w:tc>
          <w:tcPr>
            <w:tcW w:w="2589" w:type="dxa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3113" w:type="dxa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Requirement</w:t>
            </w:r>
          </w:p>
        </w:tc>
        <w:tc>
          <w:tcPr>
            <w:tcW w:w="4400" w:type="dxa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Test Condition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860" w:hRule="atLeast"/>
        </w:trPr>
        <w:tc>
          <w:tcPr>
            <w:tcW w:w="2589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Low Level Contact Resistance</w:t>
            </w:r>
          </w:p>
        </w:tc>
        <w:tc>
          <w:tcPr>
            <w:tcW w:w="3113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70milliohms Max. From initial.</w:t>
            </w:r>
          </w:p>
        </w:tc>
        <w:tc>
          <w:tcPr>
            <w:tcW w:w="4400" w:type="dxa"/>
            <w:vAlign w:val="center"/>
          </w:tcPr>
          <w:p>
            <w:pPr>
              <w:ind w:right="-105" w:rightChars="-5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EIA-364-23: Apply a maximum voltage of 20mV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 a current of 100 mA.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503" w:hRule="atLeast"/>
        </w:trPr>
        <w:tc>
          <w:tcPr>
            <w:tcW w:w="2589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Insulation Resistance</w:t>
            </w:r>
          </w:p>
        </w:tc>
        <w:tc>
          <w:tcPr>
            <w:tcW w:w="3113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10Mohm (Min.)</w:t>
            </w:r>
          </w:p>
        </w:tc>
        <w:tc>
          <w:tcPr>
            <w:tcW w:w="4400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EIA364-21: AC300V 1minute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1133" w:hRule="atLeast"/>
        </w:trPr>
        <w:tc>
          <w:tcPr>
            <w:tcW w:w="2589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Dielectric Withstanding Voltage</w:t>
            </w:r>
          </w:p>
        </w:tc>
        <w:tc>
          <w:tcPr>
            <w:tcW w:w="3113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disruptive discharge.</w:t>
            </w:r>
          </w:p>
        </w:tc>
        <w:tc>
          <w:tcPr>
            <w:tcW w:w="4400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EIA-364-20: Apply a voltage</w:t>
            </w:r>
            <w:r>
              <w:rPr>
                <w:rFonts w:hint="eastAsia"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of </w:t>
            </w:r>
            <w:r>
              <w:rPr>
                <w:rFonts w:ascii="Calibri" w:hAnsi="Calibri" w:cs="Calibri"/>
                <w:bCs/>
              </w:rPr>
              <w:t>300</w:t>
            </w:r>
            <w:r>
              <w:rPr>
                <w:rFonts w:ascii="Calibri" w:hAnsi="Calibri" w:cs="Calibri"/>
              </w:rPr>
              <w:t xml:space="preserve">VDC for </w:t>
            </w:r>
            <w:r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</w:rPr>
              <w:t>minute</w:t>
            </w:r>
            <w:r>
              <w:rPr>
                <w:rFonts w:hint="eastAsia"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between adjacent terminals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 between adjacent terminals and ground.</w:t>
            </w:r>
          </w:p>
        </w:tc>
      </w:tr>
    </w:tbl>
    <w:p>
      <w:pPr>
        <w:rPr>
          <w:rFonts w:ascii="Calibri" w:hAnsi="Calibri" w:cs="Calibri"/>
          <w:b/>
          <w:sz w:val="28"/>
          <w:szCs w:val="28"/>
        </w:rPr>
      </w:pPr>
    </w:p>
    <w:p>
      <w:pP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Environmental Performance</w:t>
      </w:r>
    </w:p>
    <w:tbl>
      <w:tblPr>
        <w:tblStyle w:val="10"/>
        <w:tblpPr w:leftFromText="181" w:rightFromText="181" w:vertAnchor="text" w:horzAnchor="page" w:tblpX="994" w:tblpY="114"/>
        <w:tblOverlap w:val="never"/>
        <w:tblW w:w="10082" w:type="dxa"/>
        <w:tblInd w:w="0" w:type="dxa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3402"/>
        <w:gridCol w:w="4111"/>
      </w:tblGrid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454" w:hRule="atLeast"/>
        </w:trPr>
        <w:tc>
          <w:tcPr>
            <w:tcW w:w="2569" w:type="dxa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3402" w:type="dxa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Requirement</w:t>
            </w:r>
          </w:p>
        </w:tc>
        <w:tc>
          <w:tcPr>
            <w:tcW w:w="4111" w:type="dxa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Test Condition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454" w:hRule="atLeast"/>
        </w:trPr>
        <w:tc>
          <w:tcPr>
            <w:tcW w:w="2569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Operating Temp. Range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-20°C to +75°C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Cable operating temperature range.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680" w:hRule="atLeast"/>
        </w:trPr>
        <w:tc>
          <w:tcPr>
            <w:tcW w:w="2569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Storage Temp. Range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 packed condition)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-40°C to +80°C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Cable storage temperature range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packed condition.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680" w:hRule="atLeast"/>
        </w:trPr>
        <w:tc>
          <w:tcPr>
            <w:tcW w:w="2569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Thermal Cycling Non-Powered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evidence of physical damage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EIA-364-32D, Method A, -25 to 90C, 100 cycles, 15 min. dwells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680" w:hRule="atLeast"/>
        </w:trPr>
        <w:tc>
          <w:tcPr>
            <w:tcW w:w="2569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Salt Spraying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hours salt spraying after shell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corrosive area less than 5％.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EIA-364-26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680" w:hRule="atLeast"/>
        </w:trPr>
        <w:tc>
          <w:tcPr>
            <w:tcW w:w="2569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Mixed Flowing Gas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electrical tests per 3.1 after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stressing. (For connector only)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EIA-364-35 Class II, 14 days.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680" w:hRule="atLeast"/>
        </w:trPr>
        <w:tc>
          <w:tcPr>
            <w:tcW w:w="2569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Temp. Life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evidence of physical damage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EIA-364-17C w/ RH, Damp heat 90</w:t>
            </w:r>
            <w:r>
              <w:rPr>
                <w:rFonts w:hint="eastAsia" w:ascii="宋体" w:hAnsi="宋体" w:cs="宋体"/>
              </w:rPr>
              <w:t>℃</w:t>
            </w:r>
            <w:r>
              <w:rPr>
                <w:rFonts w:ascii="Calibri" w:hAnsi="Calibri" w:cs="Calibri"/>
              </w:rPr>
              <w:t xml:space="preserve"> at 85% RH for 500hours then return to ambient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680" w:hRule="atLeast"/>
        </w:trPr>
        <w:tc>
          <w:tcPr>
            <w:tcW w:w="2569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Cable Cold Bend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4H, No evidence of physical damage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Condition: -20</w:t>
            </w:r>
            <w:r>
              <w:rPr>
                <w:rFonts w:hint="eastAsia" w:ascii="宋体" w:hAnsi="宋体" w:cs="宋体"/>
              </w:rPr>
              <w:t>℃</w:t>
            </w:r>
            <w:r>
              <w:rPr>
                <w:rFonts w:ascii="Calibri" w:hAnsi="Calibri" w:cs="Calibri"/>
              </w:rPr>
              <w:t>±2</w:t>
            </w:r>
            <w:r>
              <w:rPr>
                <w:rFonts w:hint="eastAsia" w:ascii="宋体" w:hAnsi="宋体" w:cs="宋体"/>
              </w:rPr>
              <w:t>℃</w:t>
            </w:r>
            <w:r>
              <w:rPr>
                <w:rFonts w:ascii="Calibri" w:hAnsi="Calibri" w:cs="Calibri"/>
              </w:rPr>
              <w:t>, mandrel diameter is 6 times the cable diameter.</w:t>
            </w:r>
          </w:p>
        </w:tc>
      </w:tr>
    </w:tbl>
    <w:p>
      <w:pPr>
        <w:tabs>
          <w:tab w:val="left" w:pos="432"/>
        </w:tabs>
        <w:spacing w:line="360" w:lineRule="auto"/>
        <w:rPr>
          <w:rFonts w:ascii="Calibri" w:hAnsi="Calibri" w:cs="Calibr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"/>
        </w:tabs>
        <w:spacing w:line="360" w:lineRule="auto"/>
        <w:rPr>
          <w:rFonts w:ascii="Calibri" w:hAnsi="Calibri" w:cs="Calibr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"/>
        </w:tabs>
        <w:spacing w:line="360" w:lineRule="auto"/>
        <w:rPr>
          <w:rFonts w:ascii="Calibri" w:hAnsi="Calibri" w:cs="Calibr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Mechanical and Physical Characteristics</w:t>
      </w:r>
    </w:p>
    <w:tbl>
      <w:tblPr>
        <w:tblStyle w:val="10"/>
        <w:tblpPr w:leftFromText="181" w:rightFromText="181" w:vertAnchor="text" w:horzAnchor="page" w:tblpX="974" w:tblpY="114"/>
        <w:tblOverlap w:val="never"/>
        <w:tblW w:w="10130" w:type="dxa"/>
        <w:tblInd w:w="0" w:type="dxa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976"/>
        <w:gridCol w:w="5103"/>
      </w:tblGrid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454" w:hRule="atLeast"/>
        </w:trPr>
        <w:tc>
          <w:tcPr>
            <w:tcW w:w="2051" w:type="dxa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976" w:type="dxa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Requirement</w:t>
            </w:r>
          </w:p>
        </w:tc>
        <w:tc>
          <w:tcPr>
            <w:tcW w:w="5103" w:type="dxa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Test Condition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668" w:hRule="atLeast"/>
        </w:trPr>
        <w:tc>
          <w:tcPr>
            <w:tcW w:w="205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Vibration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electrical tests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 3.1 after stressing.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Clamp &amp; vibrate per EIA-364-28E,</w:t>
            </w:r>
            <w:r>
              <w:rPr>
                <w:rFonts w:hint="eastAsia"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TC-VII, test condition letter – D, 15 minutes in X, Y &amp; Z axis.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1413" w:hRule="atLeast"/>
        </w:trPr>
        <w:tc>
          <w:tcPr>
            <w:tcW w:w="205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Twist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evidence of physical damage</w:t>
            </w:r>
          </w:p>
        </w:tc>
        <w:tc>
          <w:tcPr>
            <w:tcW w:w="5103" w:type="dxa"/>
            <w:vAlign w:val="center"/>
          </w:tcPr>
          <w:p>
            <w:pPr>
              <w:pStyle w:val="27"/>
              <w:spacing w:before="35" w:line="309" w:lineRule="auto"/>
              <w:ind w:left="106" w:right="43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Twist cable 180° (±90° from nominal position) for 100 cycles at 30 cycles per minute with a 0.5kg load applied to the cable jacket.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Clamp position: 300mm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1260" w:hRule="atLeast"/>
        </w:trPr>
        <w:tc>
          <w:tcPr>
            <w:tcW w:w="205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Cable Flex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evidence of physical damage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Flex cable 180° for 20 cycles (±90° from nominal position) at 12 cycles per minute with a 1.0kg load applied to the cable jacket. Flex in the boot area 90º in each direction from vertical. Per EIA-364-41C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1836" w:hRule="atLeast"/>
        </w:trPr>
        <w:tc>
          <w:tcPr>
            <w:tcW w:w="205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Cable Plug Retention in Cage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90N Min.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evidence of physical damage</w:t>
            </w:r>
          </w:p>
        </w:tc>
        <w:tc>
          <w:tcPr>
            <w:tcW w:w="5103" w:type="dxa"/>
            <w:vAlign w:val="center"/>
          </w:tcPr>
          <w:p>
            <w:pPr>
              <w:pStyle w:val="27"/>
              <w:spacing w:before="33" w:line="309" w:lineRule="auto"/>
              <w:ind w:left="106" w:right="134"/>
              <w:jc w:val="left"/>
              <w:rPr>
                <w:sz w:val="21"/>
              </w:rPr>
            </w:pPr>
            <w:r>
              <w:rPr>
                <w:sz w:val="21"/>
              </w:rPr>
              <w:t>Force to be applied axially with no damage to cage. Per SFF 8661 Rev 2.1</w:t>
            </w:r>
          </w:p>
          <w:p>
            <w:pPr>
              <w:pStyle w:val="27"/>
              <w:spacing w:before="2" w:line="309" w:lineRule="auto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Pull on cable jacket approximately 1 ft behind cable plug. No functional damage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to cable plug below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90N.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 SFF-8432 Rev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5.0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969" w:hRule="atLeast"/>
        </w:trPr>
        <w:tc>
          <w:tcPr>
            <w:tcW w:w="205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Cable Retention in Plug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90N Min.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evidence of physical damage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Cable plug is fixtured with the bulk cable hanging vertically. A 90N axial load is applied (gradually) to the cable jacket and held for 1 minute. Per EIA-364-38B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700" w:hRule="atLeast"/>
        </w:trPr>
        <w:tc>
          <w:tcPr>
            <w:tcW w:w="205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Mechanical Shock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electrical tests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 3.1 after stressing.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Clamp and shock per EIA-364-27B, TC-G, 3 times in 6 directions, 100g, 6ms.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474" w:hRule="atLeast"/>
        </w:trPr>
        <w:tc>
          <w:tcPr>
            <w:tcW w:w="205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Cable Plug Insertion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40N Max. (QSFP28)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 SFF8661 Rev 2.1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929" w:hRule="atLeast"/>
        </w:trPr>
        <w:tc>
          <w:tcPr>
            <w:tcW w:w="205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Cable plug Extraction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30N Max. (QSFP28)</w:t>
            </w:r>
          </w:p>
        </w:tc>
        <w:tc>
          <w:tcPr>
            <w:tcW w:w="5103" w:type="dxa"/>
            <w:vAlign w:val="center"/>
          </w:tcPr>
          <w:p>
            <w:pPr>
              <w:pStyle w:val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Place axial load on de-latch to de-latch plug.</w:t>
            </w:r>
          </w:p>
          <w:p>
            <w:pPr>
              <w:pStyle w:val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 SFF8661 Rev 2.1</w:t>
            </w: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single" w:color="D0CECE" w:themeColor="background2" w:themeShade="E6" w:sz="4" w:space="0"/>
            <w:insideV w:val="single" w:color="D0CECE" w:themeColor="background2" w:themeShade="E6" w:sz="4" w:space="0"/>
          </w:tblBorders>
        </w:tblPrEx>
        <w:trPr>
          <w:trHeight w:val="985" w:hRule="atLeast"/>
        </w:trPr>
        <w:tc>
          <w:tcPr>
            <w:tcW w:w="2051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Durability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cycles, No evidence of physical damage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EIA-364-09, perform plug &amp;unplug cycles: Plug and receptacle mate rate: 250times/hour. 50times for module (CONNECTOR TO PCB)</w:t>
            </w:r>
          </w:p>
        </w:tc>
      </w:tr>
    </w:tbl>
    <w:p>
      <w:pPr>
        <w:rPr>
          <w:rFonts w:ascii="Calibri" w:hAnsi="Calibri" w:cs="Calibri" w:eastAsiaTheme="minorEastAsia"/>
          <w:b/>
          <w:bCs/>
          <w:sz w:val="28"/>
          <w:szCs w:val="28"/>
        </w:rPr>
      </w:pPr>
    </w:p>
    <w:p>
      <w:pPr>
        <w:rPr>
          <w:rFonts w:ascii="Calibri" w:hAnsi="Calibri" w:cs="Calibri" w:eastAsiaTheme="minorEastAsia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Calibri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Calibri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Calibri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Calibri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Calibri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Calibri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665480</wp:posOffset>
            </wp:positionV>
            <wp:extent cx="6638925" cy="2434590"/>
            <wp:effectExtent l="0" t="0" r="15875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8"/>
          <w:szCs w:val="28"/>
        </w:rPr>
        <w:t>Outline Dimensions (mm)</w:t>
      </w:r>
      <w:bookmarkStart w:id="2" w:name="_GoBack"/>
      <w:bookmarkEnd w:id="2"/>
    </w:p>
    <w:sectPr>
      <w:headerReference r:id="rId3" w:type="default"/>
      <w:footerReference r:id="rId4" w:type="default"/>
      <w:type w:val="continuous"/>
      <w:pgSz w:w="11907" w:h="16840"/>
      <w:pgMar w:top="1134" w:right="851" w:bottom="1134" w:left="851" w:header="510" w:footer="51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MT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4"/>
      <w:rPr>
        <w:color w:val="40404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110490</wp:posOffset>
              </wp:positionV>
              <wp:extent cx="6501130" cy="11430"/>
              <wp:effectExtent l="0" t="0" r="0" b="0"/>
              <wp:wrapNone/>
              <wp:docPr id="2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01130" cy="1143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7F7F7F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6" o:spid="_x0000_s1026" o:spt="20" style="position:absolute;left:0pt;flip:y;margin-left:-0.7pt;margin-top:8.7pt;height:0.9pt;width:511.9pt;z-index:251660288;mso-width-relative:page;mso-height-relative:page;" filled="f" stroked="t" coordsize="21600,21600" o:gfxdata="UEsFBgAAAAAAAAAAAAAAAAAAAAAAAFBLAwQKAAAAAACHTuJAAAAAAAAAAAAAAAAABAAAAGRycy9Q&#10;SwMEFAAAAAgAh07iQAlTF9DVAAAACQEAAA8AAABkcnMvZG93bnJldi54bWxNT8tOwzAQvCPxD9Yi&#10;cWvtRJRHiFOhSpwQSJR+gBMvSUq8Tmy3KX/P9kRPO7szmpkt1yc3iCOG2HvSkC0VCKTG255aDbuv&#10;18UjiJgMWTN4Qg2/GGFdXV+VprB+pk88blMr2IRiYTR0KY2FlLHp0Jm49CMSc98+OJN4Da20wcxs&#10;7gaZK3UvnemJEzoz4qbD5md7cBpmNb1/7N5W+81LXE37KQuz6mqtb28y9Qwi4Sn9i+Fcn6tDxZ1q&#10;fyAbxaBhkd2xku8PPM+8ynNGNaOnHGRVyssPqj9QSwMEFAAAAAgAh07iQGkZN//+AQAA0AMAAA4A&#10;AABkcnMvZTJvRG9jLnhtbK1TzY7TMBC+I/EOlu80TZctq6jpHlqVywKVduE+dZzEwvZYttu0L8EL&#10;IHGDE8e98zYsj8E4zRZ2ueyBRLL88803831jzy73RrOd9EGhLXk+GnMmrcBK2abk729WLy44CxFs&#10;BRqtLPlBBn45f/5s1rlCTrBFXUnPiMSGonMlb2N0RZYF0UoDYYROWjqs0RuItPRNVnnoiN3obDIe&#10;T7MOfeU8ChkC7S6Ph3xg9E8hxLpWQi5RbI208cjqpYZIkkKrXODzvtq6liK+q+sgI9MlJ6WxHykJ&#10;zTdpzOYzKBoPrlViKAGeUsIjTQaUpaQnqiVEYFuv/qEySngMWMeRQJMdhfSOkIp8/Mib6xac7LWQ&#10;1cGdTA//j1a83a09U1XJJ5xZMNTwu8+3Pz99/fXjC41337+xaTKpc6Eg7MKufZIp9vbaXaH4GJjF&#10;RQu2kX2xNwdHDHmKyB6EpEVwlGrTvcGKMLCN2Du2r71htVbuQwpM5OQK2/ctOpxaJPeRCdqcno/z&#10;/Iy6J+gsz1/SNOWCItGkYOdDfC3RsDQpuVY2OQgF7K5CPELvIWnb4kppTftQaMs6SnB2TuygG3oc&#10;Ivo+NqBWVcIlWPDNZqE92wFdqVer9A8lPIAZFemZaGVKfjFO3wDSdrAmuXH0dYPVYe3vLaNG94KG&#10;S5lu0t/rPvrPQ5z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lTF9DVAAAACQEAAA8AAAAAAAAA&#10;AQAgAAAAOAAAAGRycy9kb3ducmV2LnhtbFBLAQIUABQAAAAIAIdO4kBpGTf//gEAANADAAAOAAAA&#10;AAAAAAEAIAAAADoBAABkcnMvZTJvRG9jLnhtbFBLBQYAAAAABgAGAFkBAACqBQAAAAA=&#10;">
              <v:fill on="f" focussize="0,0"/>
              <v:stroke weight="0.5pt" color="#7F7F7F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 w:hAnsi="Arial"/>
        <w:b/>
        <w:color w:val="007CC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87630</wp:posOffset>
              </wp:positionV>
              <wp:extent cx="64897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97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5pt;margin-top:6.9pt;height:0pt;width:511pt;z-index:251659264;mso-width-relative:page;mso-height-relative:page;" filled="f" stroked="t" coordsize="21600,21600" o:gfxdata="UEsFBgAAAAAAAAAAAAAAAAAAAAAAAFBLAwQKAAAAAACHTuJAAAAAAAAAAAAAAAAABAAAAGRycy9Q&#10;SwMEFAAAAAgAh07iQFt5ZaDUAAAACQEAAA8AAABkcnMvZG93bnJldi54bWxNj81OwzAQhO9IvIO1&#10;SNxaO6n4S+P0gMSRQwMHenPjbZwS21G8TQtPz0Yc4LjfjGZnys3F92LCMXUxaMiWCgSGJtoutBre&#10;314WjyASmWBNHwNq+MIEm+r6qjSFjeewxammVnBISIXR4IiGQsrUOPQmLeOAgbVDHL0hPsdW2tGc&#10;Odz3MlfqXnrTBf7gzIDPDpvP+uQ11FmGcrd6ouPr4eOb7nbuIZ+2Wt/eZGoNgvBCf2aY63N1qLjT&#10;Pp6CTaLXsMh4CjFf8YJZV/lM9r9EVqX8v6D6AVBLAwQUAAAACACHTuJAx6dXU/wBAADeAwAADgAA&#10;AGRycy9lMm9Eb2MueG1srVPNbhMxEL4j8Q6W72S3LZR0lU0PjcoFQSQK96nXzlrynzxuNnkJXgCJ&#10;G5w4cu/bUB6DsTeNQnvpoXuwZjz2N/N9/nZ2vrGGrWVE7V3LjyY1Z9IJ32m3avnnq8tXU84wgevA&#10;eCdbvpXIz+cvX8yG0Mhj33vTycgIxGEzhJb3KYWmqlD00gJOfJCOispHC4nSuKq6CAOhW1Md1/Vp&#10;NfjYheiFRKTdxVjkO8T4FECvlBZy4cWNlS6NqFEaSEQJex2Qz8u0SkmRPiqFMjHTcmKaykpNKL7O&#10;azWfQbOKEHotdiPAU0Z4wMmCdtR0D7WABOwm6kdQVovo0as0Ed5WI5GiCLE4qh9o86mHIAsXkhrD&#10;XnR8PljxYb2MTHctP+HMgaUHv/v2+8/XH39vv9N69+snO8kiDQEbOnvhlnGXYVjGzHijomXK6PCF&#10;3FQ0IFZsUyTe7iWWm8QEbZ6+np69rUl9cV+rRogMFSKmd9JbloOWG+0ye2hg/R4TtaWj90fytvOX&#10;2pjygsaxgdqf1W8yNJAtFdmBQhuIGroVZ2BW5HeRYoFEb3SXr2cg3OKFiWwNZBJyaueHK5qXMwOY&#10;qEAkypd1oBH+u5rnWQD24+VSGj1ldaLfxGjb8unhbeNyR1msuWOVtR3VzNG177ZF5Cpn9Oyl6c6i&#10;2VeHOcWHv+X8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Ft5ZaDUAAAACQEAAA8AAAAAAAAAAQAg&#10;AAAAOAAAAGRycy9kb3ducmV2LnhtbFBLAQIUABQAAAAIAIdO4kDHp1dT/AEAAN4DAAAOAAAAAAAA&#10;AAEAIAAAADkBAABkcnMvZTJvRG9jLnhtbFBLBQYAAAAABgAGAFkBAACnBQAAAAA=&#10;">
              <v:fill on="f" focussize="0,0"/>
              <v:stroke weight="1.5pt" color="#000000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12383"/>
    <w:multiLevelType w:val="multilevel"/>
    <w:tmpl w:val="53012383"/>
    <w:lvl w:ilvl="0" w:tentative="0">
      <w:start w:val="1"/>
      <w:numFmt w:val="bullet"/>
      <w:lvlText w:val=""/>
      <w:lvlJc w:val="left"/>
      <w:pPr>
        <w:ind w:left="63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5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3" w:hanging="420"/>
      </w:pPr>
      <w:rPr>
        <w:rFonts w:hint="default" w:ascii="Wingdings" w:hAnsi="Wingdings"/>
      </w:rPr>
    </w:lvl>
  </w:abstractNum>
  <w:abstractNum w:abstractNumId="1">
    <w:nsid w:val="75922A20"/>
    <w:multiLevelType w:val="multilevel"/>
    <w:tmpl w:val="75922A2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33"/>
    <w:rsid w:val="000023E1"/>
    <w:rsid w:val="00002E83"/>
    <w:rsid w:val="0001041C"/>
    <w:rsid w:val="000134C5"/>
    <w:rsid w:val="000163B3"/>
    <w:rsid w:val="00016431"/>
    <w:rsid w:val="0001761B"/>
    <w:rsid w:val="00021C21"/>
    <w:rsid w:val="000229B6"/>
    <w:rsid w:val="000250B5"/>
    <w:rsid w:val="0002626E"/>
    <w:rsid w:val="000344ED"/>
    <w:rsid w:val="00037DEF"/>
    <w:rsid w:val="00040FFB"/>
    <w:rsid w:val="000500E4"/>
    <w:rsid w:val="000509C9"/>
    <w:rsid w:val="00051900"/>
    <w:rsid w:val="0005454D"/>
    <w:rsid w:val="00075A14"/>
    <w:rsid w:val="00092963"/>
    <w:rsid w:val="000958F5"/>
    <w:rsid w:val="000A58D4"/>
    <w:rsid w:val="000A73C1"/>
    <w:rsid w:val="000A74FB"/>
    <w:rsid w:val="000B30EA"/>
    <w:rsid w:val="000B3540"/>
    <w:rsid w:val="000B6271"/>
    <w:rsid w:val="000C1567"/>
    <w:rsid w:val="000C4BC1"/>
    <w:rsid w:val="000C4D66"/>
    <w:rsid w:val="000C52D9"/>
    <w:rsid w:val="000D1A0B"/>
    <w:rsid w:val="000D3EF1"/>
    <w:rsid w:val="000D44E8"/>
    <w:rsid w:val="000E0D74"/>
    <w:rsid w:val="000E22E6"/>
    <w:rsid w:val="000E326E"/>
    <w:rsid w:val="000E40E9"/>
    <w:rsid w:val="000E52FF"/>
    <w:rsid w:val="000E5F23"/>
    <w:rsid w:val="000F2F8B"/>
    <w:rsid w:val="00101AC6"/>
    <w:rsid w:val="00103B7C"/>
    <w:rsid w:val="001056F5"/>
    <w:rsid w:val="001064EB"/>
    <w:rsid w:val="00106EAE"/>
    <w:rsid w:val="00114BD8"/>
    <w:rsid w:val="001154F6"/>
    <w:rsid w:val="00124466"/>
    <w:rsid w:val="00132987"/>
    <w:rsid w:val="0013415C"/>
    <w:rsid w:val="00136399"/>
    <w:rsid w:val="00137176"/>
    <w:rsid w:val="001400BF"/>
    <w:rsid w:val="00141985"/>
    <w:rsid w:val="00141DFD"/>
    <w:rsid w:val="0014487E"/>
    <w:rsid w:val="001500EF"/>
    <w:rsid w:val="00152B28"/>
    <w:rsid w:val="00155FE9"/>
    <w:rsid w:val="001560F7"/>
    <w:rsid w:val="00156928"/>
    <w:rsid w:val="00164C05"/>
    <w:rsid w:val="00167F07"/>
    <w:rsid w:val="001748DB"/>
    <w:rsid w:val="00175014"/>
    <w:rsid w:val="00182703"/>
    <w:rsid w:val="001928EB"/>
    <w:rsid w:val="001A1ECB"/>
    <w:rsid w:val="001A7671"/>
    <w:rsid w:val="001B0558"/>
    <w:rsid w:val="001B1484"/>
    <w:rsid w:val="001B2F76"/>
    <w:rsid w:val="001B4185"/>
    <w:rsid w:val="001C0474"/>
    <w:rsid w:val="001C6156"/>
    <w:rsid w:val="001D1D34"/>
    <w:rsid w:val="001D3282"/>
    <w:rsid w:val="001D40B5"/>
    <w:rsid w:val="001D582A"/>
    <w:rsid w:val="001D650B"/>
    <w:rsid w:val="001E0613"/>
    <w:rsid w:val="001E3539"/>
    <w:rsid w:val="001E3B9C"/>
    <w:rsid w:val="001E5F7C"/>
    <w:rsid w:val="001E6241"/>
    <w:rsid w:val="001E638C"/>
    <w:rsid w:val="001E6784"/>
    <w:rsid w:val="001F3166"/>
    <w:rsid w:val="00202CAA"/>
    <w:rsid w:val="00203C96"/>
    <w:rsid w:val="002043A6"/>
    <w:rsid w:val="0020499F"/>
    <w:rsid w:val="002067C1"/>
    <w:rsid w:val="0021175A"/>
    <w:rsid w:val="002129AB"/>
    <w:rsid w:val="00217AE5"/>
    <w:rsid w:val="002225FD"/>
    <w:rsid w:val="00225BB0"/>
    <w:rsid w:val="002303AA"/>
    <w:rsid w:val="00233ED3"/>
    <w:rsid w:val="00236E99"/>
    <w:rsid w:val="002378F1"/>
    <w:rsid w:val="00241742"/>
    <w:rsid w:val="00242177"/>
    <w:rsid w:val="00242D1A"/>
    <w:rsid w:val="002515BE"/>
    <w:rsid w:val="002524F1"/>
    <w:rsid w:val="00256107"/>
    <w:rsid w:val="002563E1"/>
    <w:rsid w:val="00256D9D"/>
    <w:rsid w:val="00261DB5"/>
    <w:rsid w:val="002620F2"/>
    <w:rsid w:val="00264729"/>
    <w:rsid w:val="0026600A"/>
    <w:rsid w:val="002710C2"/>
    <w:rsid w:val="0027191E"/>
    <w:rsid w:val="00272D3F"/>
    <w:rsid w:val="00276794"/>
    <w:rsid w:val="0028005A"/>
    <w:rsid w:val="002831F7"/>
    <w:rsid w:val="0028437E"/>
    <w:rsid w:val="00287EE1"/>
    <w:rsid w:val="00293758"/>
    <w:rsid w:val="00293E6B"/>
    <w:rsid w:val="00294592"/>
    <w:rsid w:val="002A2E63"/>
    <w:rsid w:val="002A7225"/>
    <w:rsid w:val="002B174B"/>
    <w:rsid w:val="002B583A"/>
    <w:rsid w:val="002B67BC"/>
    <w:rsid w:val="002B7780"/>
    <w:rsid w:val="002C3E9E"/>
    <w:rsid w:val="002C4CE5"/>
    <w:rsid w:val="002C55FD"/>
    <w:rsid w:val="002D11A4"/>
    <w:rsid w:val="002D4350"/>
    <w:rsid w:val="002D749B"/>
    <w:rsid w:val="002E007E"/>
    <w:rsid w:val="002E1A1F"/>
    <w:rsid w:val="002E564C"/>
    <w:rsid w:val="002F207E"/>
    <w:rsid w:val="002F24AE"/>
    <w:rsid w:val="0030143D"/>
    <w:rsid w:val="0030366C"/>
    <w:rsid w:val="00306F94"/>
    <w:rsid w:val="0031051B"/>
    <w:rsid w:val="00311931"/>
    <w:rsid w:val="003169C9"/>
    <w:rsid w:val="00320FC0"/>
    <w:rsid w:val="0032358A"/>
    <w:rsid w:val="0033139C"/>
    <w:rsid w:val="0033566A"/>
    <w:rsid w:val="003367B0"/>
    <w:rsid w:val="00337F1F"/>
    <w:rsid w:val="0034017F"/>
    <w:rsid w:val="00341324"/>
    <w:rsid w:val="00343E8B"/>
    <w:rsid w:val="00346822"/>
    <w:rsid w:val="0034689B"/>
    <w:rsid w:val="00346A76"/>
    <w:rsid w:val="00347957"/>
    <w:rsid w:val="00356629"/>
    <w:rsid w:val="0035743F"/>
    <w:rsid w:val="00365E41"/>
    <w:rsid w:val="00366738"/>
    <w:rsid w:val="00366C6A"/>
    <w:rsid w:val="00367B13"/>
    <w:rsid w:val="003706F9"/>
    <w:rsid w:val="00370BC1"/>
    <w:rsid w:val="003729D2"/>
    <w:rsid w:val="00383BAD"/>
    <w:rsid w:val="00393D53"/>
    <w:rsid w:val="00394FFE"/>
    <w:rsid w:val="00395960"/>
    <w:rsid w:val="003A4C91"/>
    <w:rsid w:val="003A68C4"/>
    <w:rsid w:val="003B3E9B"/>
    <w:rsid w:val="003B4542"/>
    <w:rsid w:val="003B6F2F"/>
    <w:rsid w:val="003C1659"/>
    <w:rsid w:val="003C52FD"/>
    <w:rsid w:val="003C7130"/>
    <w:rsid w:val="003D2CAF"/>
    <w:rsid w:val="003D2DB6"/>
    <w:rsid w:val="003E079F"/>
    <w:rsid w:val="003E53E6"/>
    <w:rsid w:val="003E7D7E"/>
    <w:rsid w:val="003F4180"/>
    <w:rsid w:val="003F4669"/>
    <w:rsid w:val="003F4B76"/>
    <w:rsid w:val="003F5082"/>
    <w:rsid w:val="0040020F"/>
    <w:rsid w:val="00400334"/>
    <w:rsid w:val="004006DB"/>
    <w:rsid w:val="00401614"/>
    <w:rsid w:val="0040471A"/>
    <w:rsid w:val="0040483B"/>
    <w:rsid w:val="0040684B"/>
    <w:rsid w:val="0041087D"/>
    <w:rsid w:val="00412552"/>
    <w:rsid w:val="00413D8D"/>
    <w:rsid w:val="00413F7E"/>
    <w:rsid w:val="00417A08"/>
    <w:rsid w:val="00424E00"/>
    <w:rsid w:val="0042519F"/>
    <w:rsid w:val="00427BED"/>
    <w:rsid w:val="00431835"/>
    <w:rsid w:val="00434854"/>
    <w:rsid w:val="00453BF1"/>
    <w:rsid w:val="00453EA4"/>
    <w:rsid w:val="00457D86"/>
    <w:rsid w:val="004601DE"/>
    <w:rsid w:val="00475B56"/>
    <w:rsid w:val="00477349"/>
    <w:rsid w:val="004824C9"/>
    <w:rsid w:val="00484E66"/>
    <w:rsid w:val="00490F36"/>
    <w:rsid w:val="00493908"/>
    <w:rsid w:val="00494844"/>
    <w:rsid w:val="0049502C"/>
    <w:rsid w:val="0049628D"/>
    <w:rsid w:val="004A52AF"/>
    <w:rsid w:val="004B1563"/>
    <w:rsid w:val="004B1811"/>
    <w:rsid w:val="004B1EE6"/>
    <w:rsid w:val="004B6C39"/>
    <w:rsid w:val="004B6F03"/>
    <w:rsid w:val="004C1B5D"/>
    <w:rsid w:val="004C20C9"/>
    <w:rsid w:val="004C382E"/>
    <w:rsid w:val="004C6253"/>
    <w:rsid w:val="004C6943"/>
    <w:rsid w:val="004D4213"/>
    <w:rsid w:val="004E4471"/>
    <w:rsid w:val="004E79DF"/>
    <w:rsid w:val="004F521B"/>
    <w:rsid w:val="004F7345"/>
    <w:rsid w:val="005008DD"/>
    <w:rsid w:val="005046F2"/>
    <w:rsid w:val="00510AA5"/>
    <w:rsid w:val="0051605F"/>
    <w:rsid w:val="00524EE3"/>
    <w:rsid w:val="0052588B"/>
    <w:rsid w:val="00527DE2"/>
    <w:rsid w:val="00530740"/>
    <w:rsid w:val="00531AEF"/>
    <w:rsid w:val="005333BA"/>
    <w:rsid w:val="00534A68"/>
    <w:rsid w:val="00540284"/>
    <w:rsid w:val="00541287"/>
    <w:rsid w:val="00545657"/>
    <w:rsid w:val="0054657D"/>
    <w:rsid w:val="00546B3C"/>
    <w:rsid w:val="00552D29"/>
    <w:rsid w:val="005548D8"/>
    <w:rsid w:val="00556FE1"/>
    <w:rsid w:val="0055743C"/>
    <w:rsid w:val="0055770D"/>
    <w:rsid w:val="0056263D"/>
    <w:rsid w:val="00564A02"/>
    <w:rsid w:val="0057330F"/>
    <w:rsid w:val="00573E4F"/>
    <w:rsid w:val="00587138"/>
    <w:rsid w:val="005877E2"/>
    <w:rsid w:val="00590E1D"/>
    <w:rsid w:val="00597FC4"/>
    <w:rsid w:val="005A2988"/>
    <w:rsid w:val="005A6C33"/>
    <w:rsid w:val="005A7D2F"/>
    <w:rsid w:val="005B0E23"/>
    <w:rsid w:val="005B3A13"/>
    <w:rsid w:val="005B58DB"/>
    <w:rsid w:val="005D2C35"/>
    <w:rsid w:val="005D2F84"/>
    <w:rsid w:val="005E4C73"/>
    <w:rsid w:val="005E72CC"/>
    <w:rsid w:val="005F2408"/>
    <w:rsid w:val="005F38D8"/>
    <w:rsid w:val="005F68C8"/>
    <w:rsid w:val="00602537"/>
    <w:rsid w:val="006166B7"/>
    <w:rsid w:val="00617A8C"/>
    <w:rsid w:val="00620FBA"/>
    <w:rsid w:val="0062273D"/>
    <w:rsid w:val="006255C6"/>
    <w:rsid w:val="00626A11"/>
    <w:rsid w:val="00627DCB"/>
    <w:rsid w:val="0063016B"/>
    <w:rsid w:val="006301F0"/>
    <w:rsid w:val="0063260A"/>
    <w:rsid w:val="00634414"/>
    <w:rsid w:val="00640E86"/>
    <w:rsid w:val="006418CF"/>
    <w:rsid w:val="006545FB"/>
    <w:rsid w:val="00657C9B"/>
    <w:rsid w:val="00661136"/>
    <w:rsid w:val="00661B90"/>
    <w:rsid w:val="00662161"/>
    <w:rsid w:val="006634FB"/>
    <w:rsid w:val="0066606A"/>
    <w:rsid w:val="00671861"/>
    <w:rsid w:val="00675588"/>
    <w:rsid w:val="00680EF9"/>
    <w:rsid w:val="00686AC1"/>
    <w:rsid w:val="00692538"/>
    <w:rsid w:val="006927D8"/>
    <w:rsid w:val="00695292"/>
    <w:rsid w:val="006A1374"/>
    <w:rsid w:val="006A2809"/>
    <w:rsid w:val="006A6382"/>
    <w:rsid w:val="006A7DF9"/>
    <w:rsid w:val="006B39CA"/>
    <w:rsid w:val="006B56BE"/>
    <w:rsid w:val="006B6952"/>
    <w:rsid w:val="006B6FCB"/>
    <w:rsid w:val="006C17C7"/>
    <w:rsid w:val="006C187D"/>
    <w:rsid w:val="006C1F3B"/>
    <w:rsid w:val="006C310A"/>
    <w:rsid w:val="006C445A"/>
    <w:rsid w:val="006C5158"/>
    <w:rsid w:val="006D170D"/>
    <w:rsid w:val="006D1FBF"/>
    <w:rsid w:val="006D3324"/>
    <w:rsid w:val="006D5158"/>
    <w:rsid w:val="006D5824"/>
    <w:rsid w:val="006D5E1E"/>
    <w:rsid w:val="006D6736"/>
    <w:rsid w:val="006D7017"/>
    <w:rsid w:val="006E5E0C"/>
    <w:rsid w:val="006F219B"/>
    <w:rsid w:val="006F3DF9"/>
    <w:rsid w:val="006F45A9"/>
    <w:rsid w:val="006F7244"/>
    <w:rsid w:val="00701307"/>
    <w:rsid w:val="00703793"/>
    <w:rsid w:val="00707E92"/>
    <w:rsid w:val="00717207"/>
    <w:rsid w:val="00722731"/>
    <w:rsid w:val="00725797"/>
    <w:rsid w:val="0072592F"/>
    <w:rsid w:val="00726AD0"/>
    <w:rsid w:val="007270FA"/>
    <w:rsid w:val="00733964"/>
    <w:rsid w:val="00740631"/>
    <w:rsid w:val="007452CB"/>
    <w:rsid w:val="0074646D"/>
    <w:rsid w:val="00746551"/>
    <w:rsid w:val="0075234D"/>
    <w:rsid w:val="00752C8C"/>
    <w:rsid w:val="00754701"/>
    <w:rsid w:val="007619EE"/>
    <w:rsid w:val="00761BBC"/>
    <w:rsid w:val="00764F46"/>
    <w:rsid w:val="007659A4"/>
    <w:rsid w:val="007707AA"/>
    <w:rsid w:val="0077439B"/>
    <w:rsid w:val="007756CC"/>
    <w:rsid w:val="0078093E"/>
    <w:rsid w:val="00780F10"/>
    <w:rsid w:val="00783854"/>
    <w:rsid w:val="00784C6A"/>
    <w:rsid w:val="0078632F"/>
    <w:rsid w:val="00786E41"/>
    <w:rsid w:val="007A1C6E"/>
    <w:rsid w:val="007A2D5B"/>
    <w:rsid w:val="007B17EB"/>
    <w:rsid w:val="007B4994"/>
    <w:rsid w:val="007B4C5E"/>
    <w:rsid w:val="007C2219"/>
    <w:rsid w:val="007C6F18"/>
    <w:rsid w:val="007D2032"/>
    <w:rsid w:val="007D3D4B"/>
    <w:rsid w:val="007D4063"/>
    <w:rsid w:val="007D4D37"/>
    <w:rsid w:val="007D6400"/>
    <w:rsid w:val="007E2865"/>
    <w:rsid w:val="007F468A"/>
    <w:rsid w:val="007F5265"/>
    <w:rsid w:val="007F5878"/>
    <w:rsid w:val="007F71DB"/>
    <w:rsid w:val="00810775"/>
    <w:rsid w:val="00830B60"/>
    <w:rsid w:val="0083696F"/>
    <w:rsid w:val="00842258"/>
    <w:rsid w:val="00843836"/>
    <w:rsid w:val="008509B9"/>
    <w:rsid w:val="008555B5"/>
    <w:rsid w:val="00856BD2"/>
    <w:rsid w:val="0086259B"/>
    <w:rsid w:val="00863364"/>
    <w:rsid w:val="00863C76"/>
    <w:rsid w:val="00864E80"/>
    <w:rsid w:val="00865F3E"/>
    <w:rsid w:val="008744BF"/>
    <w:rsid w:val="0087603E"/>
    <w:rsid w:val="008772F1"/>
    <w:rsid w:val="00883F0C"/>
    <w:rsid w:val="00884D8F"/>
    <w:rsid w:val="008853FA"/>
    <w:rsid w:val="00886F7E"/>
    <w:rsid w:val="0089039D"/>
    <w:rsid w:val="008906C3"/>
    <w:rsid w:val="00891734"/>
    <w:rsid w:val="008A1C70"/>
    <w:rsid w:val="008A2D23"/>
    <w:rsid w:val="008A6234"/>
    <w:rsid w:val="008B313E"/>
    <w:rsid w:val="008B3A3A"/>
    <w:rsid w:val="008B3AF6"/>
    <w:rsid w:val="008B71A8"/>
    <w:rsid w:val="008C295A"/>
    <w:rsid w:val="008C4809"/>
    <w:rsid w:val="008C4A40"/>
    <w:rsid w:val="008C4DA9"/>
    <w:rsid w:val="008C7033"/>
    <w:rsid w:val="008D026D"/>
    <w:rsid w:val="008D1333"/>
    <w:rsid w:val="008D2668"/>
    <w:rsid w:val="008D475B"/>
    <w:rsid w:val="008D63EE"/>
    <w:rsid w:val="008E474D"/>
    <w:rsid w:val="008F484F"/>
    <w:rsid w:val="008F4951"/>
    <w:rsid w:val="008F7E2B"/>
    <w:rsid w:val="00907537"/>
    <w:rsid w:val="009100AC"/>
    <w:rsid w:val="00911C03"/>
    <w:rsid w:val="009238A0"/>
    <w:rsid w:val="00924543"/>
    <w:rsid w:val="009317A7"/>
    <w:rsid w:val="00936201"/>
    <w:rsid w:val="0094578D"/>
    <w:rsid w:val="009478C0"/>
    <w:rsid w:val="00961266"/>
    <w:rsid w:val="009622F4"/>
    <w:rsid w:val="009632C1"/>
    <w:rsid w:val="009664A9"/>
    <w:rsid w:val="00981895"/>
    <w:rsid w:val="00983865"/>
    <w:rsid w:val="00986CBB"/>
    <w:rsid w:val="00987D58"/>
    <w:rsid w:val="00987F35"/>
    <w:rsid w:val="00995561"/>
    <w:rsid w:val="00997284"/>
    <w:rsid w:val="009A05FD"/>
    <w:rsid w:val="009A4AAF"/>
    <w:rsid w:val="009A4B21"/>
    <w:rsid w:val="009B1389"/>
    <w:rsid w:val="009C2DA6"/>
    <w:rsid w:val="009D5783"/>
    <w:rsid w:val="009D5CB3"/>
    <w:rsid w:val="009E09E9"/>
    <w:rsid w:val="009E1180"/>
    <w:rsid w:val="009F0392"/>
    <w:rsid w:val="009F0688"/>
    <w:rsid w:val="009F0ECA"/>
    <w:rsid w:val="009F476A"/>
    <w:rsid w:val="009F6030"/>
    <w:rsid w:val="00A00489"/>
    <w:rsid w:val="00A04F3D"/>
    <w:rsid w:val="00A1265A"/>
    <w:rsid w:val="00A17254"/>
    <w:rsid w:val="00A20CFE"/>
    <w:rsid w:val="00A20E72"/>
    <w:rsid w:val="00A25B00"/>
    <w:rsid w:val="00A267FA"/>
    <w:rsid w:val="00A310CF"/>
    <w:rsid w:val="00A32A30"/>
    <w:rsid w:val="00A43907"/>
    <w:rsid w:val="00A444CC"/>
    <w:rsid w:val="00A47717"/>
    <w:rsid w:val="00A5463C"/>
    <w:rsid w:val="00A57862"/>
    <w:rsid w:val="00A6259F"/>
    <w:rsid w:val="00A65AC7"/>
    <w:rsid w:val="00A7075D"/>
    <w:rsid w:val="00A71B52"/>
    <w:rsid w:val="00A726BD"/>
    <w:rsid w:val="00A75B38"/>
    <w:rsid w:val="00A77792"/>
    <w:rsid w:val="00A77CDE"/>
    <w:rsid w:val="00A8296B"/>
    <w:rsid w:val="00A84595"/>
    <w:rsid w:val="00A922F4"/>
    <w:rsid w:val="00A9284A"/>
    <w:rsid w:val="00A933BD"/>
    <w:rsid w:val="00A95A39"/>
    <w:rsid w:val="00AA2750"/>
    <w:rsid w:val="00AA42D5"/>
    <w:rsid w:val="00AB5903"/>
    <w:rsid w:val="00AB7ED2"/>
    <w:rsid w:val="00AC483F"/>
    <w:rsid w:val="00AC57E4"/>
    <w:rsid w:val="00AC5FE5"/>
    <w:rsid w:val="00AE1FC9"/>
    <w:rsid w:val="00AF6AE0"/>
    <w:rsid w:val="00B00F25"/>
    <w:rsid w:val="00B01C31"/>
    <w:rsid w:val="00B01E7A"/>
    <w:rsid w:val="00B03BEB"/>
    <w:rsid w:val="00B06104"/>
    <w:rsid w:val="00B119F6"/>
    <w:rsid w:val="00B2266C"/>
    <w:rsid w:val="00B23B52"/>
    <w:rsid w:val="00B240A8"/>
    <w:rsid w:val="00B2614A"/>
    <w:rsid w:val="00B3038A"/>
    <w:rsid w:val="00B31688"/>
    <w:rsid w:val="00B31A79"/>
    <w:rsid w:val="00B35E52"/>
    <w:rsid w:val="00B36110"/>
    <w:rsid w:val="00B37C38"/>
    <w:rsid w:val="00B4151F"/>
    <w:rsid w:val="00B42063"/>
    <w:rsid w:val="00B5333A"/>
    <w:rsid w:val="00B5570D"/>
    <w:rsid w:val="00B61CF1"/>
    <w:rsid w:val="00B72A5B"/>
    <w:rsid w:val="00B72C57"/>
    <w:rsid w:val="00B82DA9"/>
    <w:rsid w:val="00B838DE"/>
    <w:rsid w:val="00B83F10"/>
    <w:rsid w:val="00B85767"/>
    <w:rsid w:val="00B87399"/>
    <w:rsid w:val="00B9332F"/>
    <w:rsid w:val="00B952F2"/>
    <w:rsid w:val="00BA189F"/>
    <w:rsid w:val="00BA4622"/>
    <w:rsid w:val="00BA4AA2"/>
    <w:rsid w:val="00BA5624"/>
    <w:rsid w:val="00BB2682"/>
    <w:rsid w:val="00BB32D8"/>
    <w:rsid w:val="00BB67CE"/>
    <w:rsid w:val="00BB77D3"/>
    <w:rsid w:val="00BC3E9E"/>
    <w:rsid w:val="00BC40FD"/>
    <w:rsid w:val="00BC4829"/>
    <w:rsid w:val="00BC59FF"/>
    <w:rsid w:val="00BE1329"/>
    <w:rsid w:val="00BE4682"/>
    <w:rsid w:val="00BE72BD"/>
    <w:rsid w:val="00BF2B01"/>
    <w:rsid w:val="00BF6E72"/>
    <w:rsid w:val="00BF7133"/>
    <w:rsid w:val="00BF79ED"/>
    <w:rsid w:val="00C00EAC"/>
    <w:rsid w:val="00C02049"/>
    <w:rsid w:val="00C0529E"/>
    <w:rsid w:val="00C05DD1"/>
    <w:rsid w:val="00C06F92"/>
    <w:rsid w:val="00C16E6D"/>
    <w:rsid w:val="00C228D9"/>
    <w:rsid w:val="00C2313D"/>
    <w:rsid w:val="00C24845"/>
    <w:rsid w:val="00C26A2C"/>
    <w:rsid w:val="00C32E8C"/>
    <w:rsid w:val="00C34E67"/>
    <w:rsid w:val="00C400F3"/>
    <w:rsid w:val="00C41AAC"/>
    <w:rsid w:val="00C44937"/>
    <w:rsid w:val="00C470CF"/>
    <w:rsid w:val="00C55AD3"/>
    <w:rsid w:val="00C64422"/>
    <w:rsid w:val="00C67F42"/>
    <w:rsid w:val="00C718D7"/>
    <w:rsid w:val="00C72C2E"/>
    <w:rsid w:val="00C7623E"/>
    <w:rsid w:val="00C83BD4"/>
    <w:rsid w:val="00C83EBE"/>
    <w:rsid w:val="00C95D5C"/>
    <w:rsid w:val="00C96567"/>
    <w:rsid w:val="00CA15EF"/>
    <w:rsid w:val="00CA1D0E"/>
    <w:rsid w:val="00CA1D56"/>
    <w:rsid w:val="00CB46F3"/>
    <w:rsid w:val="00CC04C0"/>
    <w:rsid w:val="00CC693D"/>
    <w:rsid w:val="00CD621D"/>
    <w:rsid w:val="00CF5CFB"/>
    <w:rsid w:val="00CF5F5D"/>
    <w:rsid w:val="00D125CF"/>
    <w:rsid w:val="00D12C23"/>
    <w:rsid w:val="00D17638"/>
    <w:rsid w:val="00D21670"/>
    <w:rsid w:val="00D26226"/>
    <w:rsid w:val="00D33BA9"/>
    <w:rsid w:val="00D42312"/>
    <w:rsid w:val="00D45E91"/>
    <w:rsid w:val="00D479AB"/>
    <w:rsid w:val="00D51C3E"/>
    <w:rsid w:val="00D54E18"/>
    <w:rsid w:val="00D55594"/>
    <w:rsid w:val="00D61151"/>
    <w:rsid w:val="00D6455B"/>
    <w:rsid w:val="00D70388"/>
    <w:rsid w:val="00D74F82"/>
    <w:rsid w:val="00D77F42"/>
    <w:rsid w:val="00D82891"/>
    <w:rsid w:val="00D863DA"/>
    <w:rsid w:val="00D87C6B"/>
    <w:rsid w:val="00D9007A"/>
    <w:rsid w:val="00D906AE"/>
    <w:rsid w:val="00DA2308"/>
    <w:rsid w:val="00DB61EE"/>
    <w:rsid w:val="00DB6EC4"/>
    <w:rsid w:val="00DC4158"/>
    <w:rsid w:val="00DC5D5D"/>
    <w:rsid w:val="00DC797F"/>
    <w:rsid w:val="00DD1D5F"/>
    <w:rsid w:val="00DD3B93"/>
    <w:rsid w:val="00DD3BC1"/>
    <w:rsid w:val="00DD6B95"/>
    <w:rsid w:val="00DE188C"/>
    <w:rsid w:val="00DE349E"/>
    <w:rsid w:val="00DE5866"/>
    <w:rsid w:val="00DE67CE"/>
    <w:rsid w:val="00DF17B3"/>
    <w:rsid w:val="00DF37E0"/>
    <w:rsid w:val="00DF648E"/>
    <w:rsid w:val="00DF66D6"/>
    <w:rsid w:val="00DF7126"/>
    <w:rsid w:val="00DF7B7A"/>
    <w:rsid w:val="00E0137A"/>
    <w:rsid w:val="00E02FCF"/>
    <w:rsid w:val="00E10471"/>
    <w:rsid w:val="00E12FD4"/>
    <w:rsid w:val="00E2478C"/>
    <w:rsid w:val="00E25924"/>
    <w:rsid w:val="00E26D63"/>
    <w:rsid w:val="00E30BD1"/>
    <w:rsid w:val="00E40A1A"/>
    <w:rsid w:val="00E47921"/>
    <w:rsid w:val="00E55016"/>
    <w:rsid w:val="00E61AF0"/>
    <w:rsid w:val="00E61F4A"/>
    <w:rsid w:val="00E62233"/>
    <w:rsid w:val="00E63736"/>
    <w:rsid w:val="00E64B5B"/>
    <w:rsid w:val="00E65B20"/>
    <w:rsid w:val="00E66727"/>
    <w:rsid w:val="00E7036A"/>
    <w:rsid w:val="00E73BE0"/>
    <w:rsid w:val="00E81806"/>
    <w:rsid w:val="00E85D1B"/>
    <w:rsid w:val="00E91A6C"/>
    <w:rsid w:val="00E923FE"/>
    <w:rsid w:val="00E95133"/>
    <w:rsid w:val="00EA3B28"/>
    <w:rsid w:val="00EB4AB9"/>
    <w:rsid w:val="00EB4CD5"/>
    <w:rsid w:val="00EC14B8"/>
    <w:rsid w:val="00EC34DE"/>
    <w:rsid w:val="00ED08DE"/>
    <w:rsid w:val="00ED3AB9"/>
    <w:rsid w:val="00ED3F6C"/>
    <w:rsid w:val="00ED5DA7"/>
    <w:rsid w:val="00ED6DDA"/>
    <w:rsid w:val="00EE0869"/>
    <w:rsid w:val="00EE28A7"/>
    <w:rsid w:val="00EE43DF"/>
    <w:rsid w:val="00EF398D"/>
    <w:rsid w:val="00EF6EDA"/>
    <w:rsid w:val="00EF7C6C"/>
    <w:rsid w:val="00F02D00"/>
    <w:rsid w:val="00F034A9"/>
    <w:rsid w:val="00F05D73"/>
    <w:rsid w:val="00F115ED"/>
    <w:rsid w:val="00F1302F"/>
    <w:rsid w:val="00F13A39"/>
    <w:rsid w:val="00F160D0"/>
    <w:rsid w:val="00F16F47"/>
    <w:rsid w:val="00F17008"/>
    <w:rsid w:val="00F20E78"/>
    <w:rsid w:val="00F2124F"/>
    <w:rsid w:val="00F21345"/>
    <w:rsid w:val="00F22E1F"/>
    <w:rsid w:val="00F26015"/>
    <w:rsid w:val="00F32A37"/>
    <w:rsid w:val="00F3375F"/>
    <w:rsid w:val="00F33A38"/>
    <w:rsid w:val="00F35B96"/>
    <w:rsid w:val="00F36809"/>
    <w:rsid w:val="00F400CA"/>
    <w:rsid w:val="00F50745"/>
    <w:rsid w:val="00F52FCC"/>
    <w:rsid w:val="00F574AE"/>
    <w:rsid w:val="00F627A6"/>
    <w:rsid w:val="00F6367D"/>
    <w:rsid w:val="00F709CE"/>
    <w:rsid w:val="00F77F9D"/>
    <w:rsid w:val="00F842A0"/>
    <w:rsid w:val="00F8434B"/>
    <w:rsid w:val="00FA4D85"/>
    <w:rsid w:val="00FB5CF4"/>
    <w:rsid w:val="00FC6DF2"/>
    <w:rsid w:val="00FC7199"/>
    <w:rsid w:val="00FC773A"/>
    <w:rsid w:val="00FD436F"/>
    <w:rsid w:val="00FD4DAC"/>
    <w:rsid w:val="00FE61C1"/>
    <w:rsid w:val="00FE683A"/>
    <w:rsid w:val="00FF1C9A"/>
    <w:rsid w:val="00FF246D"/>
    <w:rsid w:val="00FF4682"/>
    <w:rsid w:val="00FF5320"/>
    <w:rsid w:val="14E81C52"/>
    <w:rsid w:val="37E718C5"/>
    <w:rsid w:val="3E9F6C93"/>
    <w:rsid w:val="3FF1E0D2"/>
    <w:rsid w:val="58670C8B"/>
    <w:rsid w:val="6E35606C"/>
    <w:rsid w:val="7F172C3D"/>
    <w:rsid w:val="FFDF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eastAsia="黑体"/>
      <w:b/>
      <w:sz w:val="24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link w:val="25"/>
    <w:qFormat/>
    <w:uiPriority w:val="0"/>
    <w:pPr>
      <w:autoSpaceDE w:val="0"/>
      <w:autoSpaceDN w:val="0"/>
      <w:adjustRightInd w:val="0"/>
      <w:ind w:right="403" w:rightChars="192"/>
      <w:jc w:val="left"/>
    </w:pPr>
    <w:rPr>
      <w:rFonts w:ascii="ArialMT" w:hAnsi="ArialMT"/>
      <w:kern w:val="0"/>
      <w:sz w:val="20"/>
      <w:szCs w:val="20"/>
    </w:rPr>
  </w:style>
  <w:style w:type="paragraph" w:styleId="6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1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字符1"/>
    <w:link w:val="8"/>
    <w:qFormat/>
    <w:uiPriority w:val="99"/>
    <w:rPr>
      <w:kern w:val="2"/>
      <w:sz w:val="18"/>
      <w:szCs w:val="18"/>
    </w:rPr>
  </w:style>
  <w:style w:type="paragraph" w:customStyle="1" w:styleId="17">
    <w:name w:val="CM17"/>
    <w:basedOn w:val="18"/>
    <w:next w:val="18"/>
    <w:qFormat/>
    <w:uiPriority w:val="99"/>
    <w:rPr>
      <w:color w:val="auto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default0"/>
    <w:basedOn w:val="1"/>
    <w:qFormat/>
    <w:uiPriority w:val="0"/>
    <w:pPr>
      <w:widowControl/>
      <w:autoSpaceDE w:val="0"/>
      <w:autoSpaceDN w:val="0"/>
      <w:jc w:val="left"/>
    </w:pPr>
    <w:rPr>
      <w:color w:val="000000"/>
      <w:kern w:val="0"/>
      <w:sz w:val="24"/>
      <w:szCs w:val="24"/>
    </w:rPr>
  </w:style>
  <w:style w:type="paragraph" w:customStyle="1" w:styleId="20">
    <w:name w:val="default"/>
    <w:basedOn w:val="1"/>
    <w:qFormat/>
    <w:uiPriority w:val="0"/>
    <w:pPr>
      <w:widowControl/>
      <w:autoSpaceDE w:val="0"/>
      <w:autoSpaceDN w:val="0"/>
      <w:jc w:val="left"/>
    </w:pPr>
    <w:rPr>
      <w:color w:val="000000"/>
      <w:kern w:val="0"/>
      <w:sz w:val="24"/>
      <w:szCs w:val="24"/>
    </w:rPr>
  </w:style>
  <w:style w:type="paragraph" w:customStyle="1" w:styleId="21">
    <w:name w:val="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Arial" w:hAnsi="Arial"/>
      <w:kern w:val="0"/>
      <w:sz w:val="22"/>
      <w:szCs w:val="22"/>
      <w:lang w:eastAsia="en-US"/>
    </w:rPr>
  </w:style>
  <w:style w:type="character" w:customStyle="1" w:styleId="22">
    <w:name w:val="标题 字符"/>
    <w:link w:val="9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23">
    <w:name w:val="页眉 字符"/>
    <w:qFormat/>
    <w:uiPriority w:val="99"/>
    <w:rPr>
      <w:rFonts w:ascii="Calibri" w:hAnsi="Calibri" w:cs="Arial"/>
      <w:kern w:val="2"/>
      <w:sz w:val="18"/>
      <w:szCs w:val="18"/>
      <w:lang w:eastAsia="en-US"/>
    </w:rPr>
  </w:style>
  <w:style w:type="character" w:customStyle="1" w:styleId="24">
    <w:name w:val="页脚 字符"/>
    <w:qFormat/>
    <w:uiPriority w:val="99"/>
    <w:rPr>
      <w:rFonts w:ascii="Calibri" w:hAnsi="Calibri" w:cs="Arial"/>
      <w:kern w:val="2"/>
      <w:sz w:val="18"/>
      <w:szCs w:val="18"/>
      <w:lang w:eastAsia="en-US"/>
    </w:rPr>
  </w:style>
  <w:style w:type="character" w:customStyle="1" w:styleId="25">
    <w:name w:val="正文文本 字符"/>
    <w:basedOn w:val="11"/>
    <w:link w:val="5"/>
    <w:qFormat/>
    <w:uiPriority w:val="0"/>
    <w:rPr>
      <w:rFonts w:ascii="ArialMT" w:hAnsi="ArialMT"/>
    </w:rPr>
  </w:style>
  <w:style w:type="paragraph" w:customStyle="1" w:styleId="26">
    <w:name w:val="List Paragraph"/>
    <w:basedOn w:val="1"/>
    <w:qFormat/>
    <w:uiPriority w:val="34"/>
    <w:pPr>
      <w:autoSpaceDE w:val="0"/>
      <w:autoSpaceDN w:val="0"/>
      <w:ind w:left="1474" w:hanging="420"/>
      <w:jc w:val="left"/>
    </w:pPr>
    <w:rPr>
      <w:rFonts w:eastAsia="Times New Roman"/>
      <w:kern w:val="0"/>
      <w:sz w:val="22"/>
      <w:szCs w:val="22"/>
      <w:lang w:eastAsia="en-US" w:bidi="en-US"/>
    </w:rPr>
  </w:style>
  <w:style w:type="paragraph" w:customStyle="1" w:styleId="27">
    <w:name w:val="Table Paragraph"/>
    <w:basedOn w:val="1"/>
    <w:qFormat/>
    <w:uiPriority w:val="1"/>
    <w:pPr>
      <w:autoSpaceDE w:val="0"/>
      <w:autoSpaceDN w:val="0"/>
      <w:jc w:val="center"/>
    </w:pPr>
    <w:rPr>
      <w:rFonts w:ascii="Calibri" w:hAnsi="Calibri" w:eastAsia="Calibri" w:cs="Calibri"/>
      <w:kern w:val="0"/>
      <w:sz w:val="22"/>
      <w:szCs w:val="22"/>
      <w:lang w:eastAsia="en-US" w:bidi="en-US"/>
    </w:rPr>
  </w:style>
  <w:style w:type="paragraph" w:customStyle="1" w:styleId="28">
    <w:name w:val="表格文本"/>
    <w:basedOn w:val="1"/>
    <w:link w:val="29"/>
    <w:qFormat/>
    <w:uiPriority w:val="0"/>
    <w:pPr>
      <w:tabs>
        <w:tab w:val="decimal" w:pos="0"/>
      </w:tabs>
      <w:suppressAutoHyphens/>
      <w:autoSpaceDE w:val="0"/>
      <w:jc w:val="left"/>
    </w:pPr>
    <w:rPr>
      <w:rFonts w:ascii="Arial" w:hAnsi="Arial"/>
      <w:kern w:val="1"/>
      <w:lang w:eastAsia="ar-SA"/>
    </w:rPr>
  </w:style>
  <w:style w:type="character" w:customStyle="1" w:styleId="29">
    <w:name w:val="表格文本 Char"/>
    <w:link w:val="28"/>
    <w:qFormat/>
    <w:uiPriority w:val="0"/>
    <w:rPr>
      <w:rFonts w:ascii="Arial" w:hAnsi="Arial"/>
      <w:kern w:val="1"/>
      <w:sz w:val="21"/>
      <w:szCs w:val="2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jennifer/Library/Containers/com.kingsoft.wpsoffice.mac/Data/E:\xgiga%20datasheet\Bidi\glc-bx-d-u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glc-bx-d-u.dot</Template>
  <Company>xgiga</Company>
  <Pages>4</Pages>
  <Words>912</Words>
  <Characters>5201</Characters>
  <Lines>43</Lines>
  <Paragraphs>12</Paragraphs>
  <TotalTime>2</TotalTime>
  <ScaleCrop>false</ScaleCrop>
  <LinksUpToDate>false</LinksUpToDate>
  <CharactersWithSpaces>6101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2022-09-01T00:53:00Z</dcterms:created>
  <dc:creator>jennifer</dc:creator>
  <cp:lastModifiedBy>SUNRIZE</cp:lastModifiedBy>
  <cp:lastPrinted>2012-10-17T00:38:00Z</cp:lastPrinted>
  <dcterms:modified xsi:type="dcterms:W3CDTF">2023-11-03T17:48:14Z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4C4A5410A81D8632DEC1446593EB4BA1_42</vt:lpwstr>
  </property>
</Properties>
</file>